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D3" w:rsidRPr="007D11D3" w:rsidRDefault="007D11D3" w:rsidP="007D11D3">
      <w:pPr>
        <w:spacing w:after="0" w:line="240" w:lineRule="auto"/>
        <w:jc w:val="both"/>
        <w:rPr>
          <w:b/>
          <w:i/>
          <w:sz w:val="28"/>
          <w:szCs w:val="28"/>
        </w:rPr>
      </w:pPr>
      <w:bookmarkStart w:id="0" w:name="_GoBack"/>
      <w:bookmarkEnd w:id="0"/>
      <w:r w:rsidRPr="007D11D3">
        <w:rPr>
          <w:b/>
          <w:sz w:val="24"/>
          <w:szCs w:val="24"/>
        </w:rPr>
        <w:t xml:space="preserve">OSSERVAZIONI SULLO </w:t>
      </w:r>
      <w:r w:rsidRPr="007D11D3">
        <w:rPr>
          <w:b/>
          <w:i/>
          <w:sz w:val="24"/>
          <w:szCs w:val="24"/>
        </w:rPr>
        <w:t>SCHEMA DI</w:t>
      </w:r>
      <w:r w:rsidRPr="007D11D3">
        <w:rPr>
          <w:b/>
          <w:sz w:val="24"/>
          <w:szCs w:val="24"/>
        </w:rPr>
        <w:t xml:space="preserve"> </w:t>
      </w:r>
      <w:r w:rsidRPr="007D11D3">
        <w:rPr>
          <w:b/>
          <w:i/>
          <w:sz w:val="24"/>
          <w:szCs w:val="24"/>
        </w:rPr>
        <w:t>DISEGNO DI LEGGE RECANTE RATIFICA ED ESECUZIONE DEL PROTOCOLLO DI NAGOYA SULL’ACCESSO ALLE RISORSE GENETICHE E ALLA GIUSTA ED EQUA RIPARTIZIONE DEI BENEFICI DERIVANTI DALLA LORO UTILIZZAZIONE, DELLA CONVENZIONE SULLA DIVERSITÀ BIOLOGICA, ADOTTATO A NAGOYA IL 29 OTTOBRE 2010</w:t>
      </w:r>
    </w:p>
    <w:p w:rsidR="007D11D3" w:rsidRDefault="007D11D3" w:rsidP="00975F4C">
      <w:pPr>
        <w:spacing w:after="0" w:line="240" w:lineRule="auto"/>
        <w:jc w:val="both"/>
      </w:pPr>
    </w:p>
    <w:p w:rsidR="003A57C5" w:rsidRDefault="003A57C5" w:rsidP="00975F4C">
      <w:pPr>
        <w:spacing w:after="0" w:line="240" w:lineRule="auto"/>
        <w:jc w:val="both"/>
      </w:pPr>
      <w:r>
        <w:t>Preliminarmente si riportano alcune considerazioni per una corretta valutazione del DL proposto dal Ministero dell’Ambiente.</w:t>
      </w:r>
    </w:p>
    <w:p w:rsidR="003A57C5" w:rsidRPr="00006FE4" w:rsidRDefault="003A57C5" w:rsidP="00975F4C">
      <w:pPr>
        <w:spacing w:after="0" w:line="240" w:lineRule="auto"/>
        <w:jc w:val="both"/>
        <w:rPr>
          <w:b/>
          <w:u w:val="single"/>
        </w:rPr>
      </w:pPr>
    </w:p>
    <w:p w:rsidR="00976049" w:rsidRDefault="004C066B" w:rsidP="00350132">
      <w:pPr>
        <w:spacing w:after="0" w:line="240" w:lineRule="auto"/>
        <w:jc w:val="both"/>
      </w:pPr>
      <w:r>
        <w:t>Il Protocollo di Nagoya, adottato dalla Conferenza delle Parti de</w:t>
      </w:r>
      <w:r w:rsidR="00A146FC">
        <w:t>lla Convenzione sulla Biodiversi</w:t>
      </w:r>
      <w:r>
        <w:t xml:space="preserve">tà il 29 ottobre 2010, è </w:t>
      </w:r>
      <w:r w:rsidR="00B54272">
        <w:t>entrat</w:t>
      </w:r>
      <w:r>
        <w:t xml:space="preserve">o in vigore il 12 ottobre 2014, con l’adesione del 50° Paese Membro. </w:t>
      </w:r>
    </w:p>
    <w:p w:rsidR="003A57C5" w:rsidRDefault="00976049" w:rsidP="00350132">
      <w:pPr>
        <w:spacing w:after="0" w:line="240" w:lineRule="auto"/>
        <w:jc w:val="both"/>
      </w:pPr>
      <w:r>
        <w:t xml:space="preserve">L’Unione Europea ha approvato il </w:t>
      </w:r>
      <w:r w:rsidR="004C066B">
        <w:t>l Protocollo</w:t>
      </w:r>
      <w:r>
        <w:t xml:space="preserve"> con decisione n.</w:t>
      </w:r>
      <w:r w:rsidR="00E24467">
        <w:t xml:space="preserve"> </w:t>
      </w:r>
      <w:r>
        <w:t>283/2014/UE, depositando lo strumento di ratifica il 16 ma</w:t>
      </w:r>
      <w:r w:rsidR="003A57C5">
        <w:t>ggio 2014 aderendo per conto degli</w:t>
      </w:r>
      <w:r>
        <w:t xml:space="preserve"> Stati Membri, indipendentemente dalle ratifiche nazionali </w:t>
      </w:r>
      <w:r w:rsidR="004C066B">
        <w:t xml:space="preserve"> </w:t>
      </w:r>
      <w:r w:rsidR="009A12AA">
        <w:t>L’implementazione</w:t>
      </w:r>
      <w:r w:rsidR="004C066B">
        <w:t xml:space="preserve"> comunitaria del Protocollo è </w:t>
      </w:r>
      <w:r w:rsidR="009A12AA">
        <w:t xml:space="preserve">disciplinata attraverso </w:t>
      </w:r>
      <w:r w:rsidR="00A146FC">
        <w:t xml:space="preserve">un </w:t>
      </w:r>
      <w:r w:rsidR="009A12AA">
        <w:t xml:space="preserve">apposito </w:t>
      </w:r>
      <w:r w:rsidR="004C066B">
        <w:t xml:space="preserve">Regolamento UE  </w:t>
      </w:r>
      <w:r w:rsidR="009A12AA">
        <w:t xml:space="preserve">(n. 511/2014 del 16 aprile 2014). </w:t>
      </w:r>
    </w:p>
    <w:p w:rsidR="003A57C5" w:rsidRDefault="003A57C5" w:rsidP="00350132">
      <w:pPr>
        <w:spacing w:after="0" w:line="240" w:lineRule="auto"/>
        <w:jc w:val="both"/>
      </w:pPr>
    </w:p>
    <w:p w:rsidR="009A12AA" w:rsidRDefault="00976049" w:rsidP="00350132">
      <w:pPr>
        <w:spacing w:after="0" w:line="240" w:lineRule="auto"/>
        <w:jc w:val="both"/>
      </w:pPr>
      <w:r>
        <w:t xml:space="preserve"> </w:t>
      </w:r>
      <w:r w:rsidR="009A12AA">
        <w:t>Il presente “Disegno di Legge” rappresenta quindi le misure di a</w:t>
      </w:r>
      <w:r w:rsidR="00975F4C">
        <w:t>p</w:t>
      </w:r>
      <w:r w:rsidR="009A12AA">
        <w:t xml:space="preserve">plicazione </w:t>
      </w:r>
      <w:r w:rsidR="003A57C5">
        <w:t>nazionale del predetto regolamento che lascia agli</w:t>
      </w:r>
      <w:r w:rsidR="00975F4C">
        <w:t xml:space="preserve"> Stati Membri  la decisione sulle competenze e le procedure da seguire.</w:t>
      </w:r>
      <w:r w:rsidR="00A146FC">
        <w:t xml:space="preserve"> </w:t>
      </w:r>
    </w:p>
    <w:p w:rsidR="00A67B06" w:rsidRDefault="00A146FC" w:rsidP="00350132">
      <w:pPr>
        <w:spacing w:after="0" w:line="240" w:lineRule="auto"/>
        <w:jc w:val="both"/>
      </w:pPr>
      <w:r>
        <w:t>Tradizionalmente, gli argomenti riguardanti la biodiversità nel senso della Convenzio</w:t>
      </w:r>
      <w:r w:rsidR="00350132">
        <w:t xml:space="preserve">ne sulla Diversità Biologica (CDB), </w:t>
      </w:r>
      <w:r>
        <w:t>vengono seguiti, in quasi tutti i Paesi del mondo (e anche in Italia)</w:t>
      </w:r>
      <w:r w:rsidR="00350132">
        <w:t xml:space="preserve">, dai Ministeri per </w:t>
      </w:r>
      <w:r w:rsidR="00E24467">
        <w:t xml:space="preserve">l’Ambiente da cui l’iniziativa </w:t>
      </w:r>
      <w:r w:rsidR="00350132">
        <w:t>del predetto Mini</w:t>
      </w:r>
      <w:r w:rsidR="00E24467">
        <w:t xml:space="preserve">stero </w:t>
      </w:r>
      <w:r w:rsidR="00350132">
        <w:t xml:space="preserve">nel proporre il D.L. </w:t>
      </w:r>
    </w:p>
    <w:p w:rsidR="00350132" w:rsidRDefault="00350132" w:rsidP="00350132">
      <w:pPr>
        <w:spacing w:after="0" w:line="240" w:lineRule="auto"/>
        <w:jc w:val="both"/>
      </w:pPr>
    </w:p>
    <w:p w:rsidR="00A67B06" w:rsidRDefault="00A67B06" w:rsidP="00350132">
      <w:pPr>
        <w:spacing w:after="0" w:line="240" w:lineRule="auto"/>
        <w:jc w:val="both"/>
      </w:pPr>
      <w:r>
        <w:t>Il Protocollo di Nagoya, e di conseguenza anche il Regolamento UE e il presente Disegno di Legge, riconoscono l’esistenza di altri regimi internazionali volti allo scambio e l’utilizzo del materiale genetico e rispettano gli impegni presi dai</w:t>
      </w:r>
      <w:r w:rsidR="003A57C5">
        <w:t xml:space="preserve"> singoli  Paesi  per l</w:t>
      </w:r>
      <w:r>
        <w:t xml:space="preserve">’implementazione di questi regimi. </w:t>
      </w:r>
    </w:p>
    <w:p w:rsidR="00A67B06" w:rsidRDefault="00A67B06" w:rsidP="003A57C5">
      <w:pPr>
        <w:spacing w:after="0" w:line="240" w:lineRule="auto"/>
        <w:jc w:val="both"/>
      </w:pPr>
      <w:r>
        <w:t xml:space="preserve">In quest’ottica, l’accordo internazionale più importante da menzionare è </w:t>
      </w:r>
      <w:r w:rsidR="0068309E">
        <w:t xml:space="preserve">il </w:t>
      </w:r>
      <w:r w:rsidR="0068309E" w:rsidRPr="00582B42">
        <w:rPr>
          <w:b/>
        </w:rPr>
        <w:t>Trattato Internazionale della</w:t>
      </w:r>
      <w:r w:rsidRPr="00582B42">
        <w:rPr>
          <w:b/>
        </w:rPr>
        <w:t xml:space="preserve"> FAO sulle Risorse Genetiche per l’Alimentazione e l’Agricoltura </w:t>
      </w:r>
      <w:r>
        <w:t>(RGVAA, o PGRFA, in inglese). Il Trattato, in vigore dal 2004 e firmato dall’Italia nello stesso anno (</w:t>
      </w:r>
      <w:r w:rsidR="00E24467">
        <w:t>Legge n.</w:t>
      </w:r>
      <w:r>
        <w:t xml:space="preserve"> 101/2004)</w:t>
      </w:r>
      <w:r w:rsidR="0068309E">
        <w:t>, ha</w:t>
      </w:r>
      <w:r>
        <w:t xml:space="preserve"> come oggetto l’utilizzo </w:t>
      </w:r>
      <w:r w:rsidR="0068309E">
        <w:t xml:space="preserve">specifico </w:t>
      </w:r>
      <w:r>
        <w:t xml:space="preserve">delle </w:t>
      </w:r>
      <w:r w:rsidR="0068309E">
        <w:t>RGVAA e la condivisione dei benefici derivanti da questo utilizzo.</w:t>
      </w:r>
    </w:p>
    <w:p w:rsidR="00E24467" w:rsidRDefault="00E24467" w:rsidP="00E24467">
      <w:pPr>
        <w:spacing w:after="0" w:line="240" w:lineRule="auto"/>
        <w:ind w:firstLine="284"/>
        <w:jc w:val="both"/>
      </w:pPr>
    </w:p>
    <w:p w:rsidR="00350132" w:rsidRDefault="003A57C5" w:rsidP="003A57C5">
      <w:pPr>
        <w:spacing w:after="0" w:line="240" w:lineRule="auto"/>
        <w:jc w:val="both"/>
      </w:pPr>
      <w:r>
        <w:t>In entrambi i casi (Protocollo di Nagoya e Trattato Internazionale FAO)</w:t>
      </w:r>
      <w:r w:rsidR="009426D1">
        <w:t xml:space="preserve"> come </w:t>
      </w:r>
      <w:r w:rsidR="0068309E">
        <w:t>“</w:t>
      </w:r>
      <w:r w:rsidR="009426D1">
        <w:t>utilizzo</w:t>
      </w:r>
      <w:r w:rsidR="0068309E">
        <w:t>”</w:t>
      </w:r>
      <w:r w:rsidR="009426D1">
        <w:t xml:space="preserve"> delle Risorse Genetiche si intende la raccolta, ricerca, miglioramento genetico e sviluppo ai fini dell’ottenimento di prodotti </w:t>
      </w:r>
      <w:r w:rsidR="0068309E">
        <w:t xml:space="preserve">innovativi e </w:t>
      </w:r>
      <w:r w:rsidR="009426D1">
        <w:t>utili per il benessere umano.</w:t>
      </w:r>
    </w:p>
    <w:p w:rsidR="009426D1" w:rsidRDefault="009426D1" w:rsidP="00350132">
      <w:pPr>
        <w:spacing w:after="0" w:line="240" w:lineRule="auto"/>
        <w:jc w:val="both"/>
      </w:pPr>
    </w:p>
    <w:p w:rsidR="00215A8D" w:rsidRPr="00006FE4" w:rsidRDefault="00323F12" w:rsidP="00350132">
      <w:pPr>
        <w:pStyle w:val="Paragrafoelenco"/>
        <w:numPr>
          <w:ilvl w:val="0"/>
          <w:numId w:val="1"/>
        </w:numPr>
        <w:spacing w:after="0" w:line="240" w:lineRule="auto"/>
        <w:jc w:val="both"/>
        <w:rPr>
          <w:b/>
        </w:rPr>
      </w:pPr>
      <w:r w:rsidRPr="00006FE4">
        <w:rPr>
          <w:b/>
        </w:rPr>
        <w:t>Oggetto del Protocollo di Nagoya e relative competenze minist</w:t>
      </w:r>
      <w:r w:rsidR="00474EFD" w:rsidRPr="00006FE4">
        <w:rPr>
          <w:b/>
        </w:rPr>
        <w:t>e</w:t>
      </w:r>
      <w:r w:rsidRPr="00006FE4">
        <w:rPr>
          <w:b/>
        </w:rPr>
        <w:t>riali</w:t>
      </w:r>
    </w:p>
    <w:p w:rsidR="00323F12" w:rsidRDefault="00323F12" w:rsidP="00350132">
      <w:pPr>
        <w:spacing w:after="0" w:line="240" w:lineRule="auto"/>
        <w:jc w:val="both"/>
      </w:pPr>
    </w:p>
    <w:p w:rsidR="00474EFD" w:rsidRDefault="00323F12" w:rsidP="00350132">
      <w:pPr>
        <w:spacing w:after="0" w:line="240" w:lineRule="auto"/>
        <w:jc w:val="both"/>
      </w:pPr>
      <w:r>
        <w:t xml:space="preserve">Il Protocollo di Nagoya, </w:t>
      </w:r>
      <w:r w:rsidR="0068309E">
        <w:t>come</w:t>
      </w:r>
      <w:r>
        <w:t xml:space="preserve"> prodotto della Convenzione sulla Biodiversità, </w:t>
      </w:r>
      <w:r w:rsidR="0068309E">
        <w:t>si riferisce a</w:t>
      </w:r>
      <w:r>
        <w:t xml:space="preserve"> </w:t>
      </w:r>
      <w:r w:rsidRPr="00B40F8D">
        <w:t>tutte le risorse genetiche</w:t>
      </w:r>
      <w:r w:rsidR="003A57C5" w:rsidRPr="00B40F8D">
        <w:t>,</w:t>
      </w:r>
      <w:r w:rsidR="003A57C5">
        <w:t xml:space="preserve"> eccetto</w:t>
      </w:r>
      <w:r>
        <w:t xml:space="preserve"> quelle umane, esistenti nel mondo. Sono quindi oggetto del presente Disegno di Legge le risorse genetiche vegetali, forestali, animali, microbiche e acquatiche. </w:t>
      </w:r>
    </w:p>
    <w:p w:rsidR="00323F12" w:rsidRDefault="00323F12" w:rsidP="00350132">
      <w:pPr>
        <w:spacing w:after="0" w:line="240" w:lineRule="auto"/>
        <w:jc w:val="both"/>
      </w:pPr>
      <w:r>
        <w:t xml:space="preserve">Inoltre, le modalità di scambio e condivisione dei benefici si applicano </w:t>
      </w:r>
      <w:r w:rsidRPr="00B40F8D">
        <w:t xml:space="preserve">a qualsiasi scopo di </w:t>
      </w:r>
      <w:r w:rsidR="009426D1" w:rsidRPr="00B40F8D">
        <w:t xml:space="preserve">ricerca e </w:t>
      </w:r>
      <w:r w:rsidRPr="00B40F8D">
        <w:t>utilizzo</w:t>
      </w:r>
      <w:r>
        <w:t xml:space="preserve">, sia </w:t>
      </w:r>
      <w:r w:rsidR="0068309E">
        <w:t xml:space="preserve">nel settore </w:t>
      </w:r>
      <w:r>
        <w:t xml:space="preserve">alimentare, agricolo, farmaceutico, cosmetico, industriale o altro ancora. </w:t>
      </w:r>
    </w:p>
    <w:p w:rsidR="00474EFD" w:rsidRDefault="00474EFD" w:rsidP="00350132">
      <w:pPr>
        <w:spacing w:after="0" w:line="240" w:lineRule="auto"/>
        <w:jc w:val="both"/>
      </w:pPr>
    </w:p>
    <w:p w:rsidR="00323F12" w:rsidRDefault="00323F12" w:rsidP="00350132">
      <w:pPr>
        <w:spacing w:after="0" w:line="240" w:lineRule="auto"/>
        <w:jc w:val="both"/>
      </w:pPr>
      <w:r>
        <w:t xml:space="preserve">In questa ottica si </w:t>
      </w:r>
      <w:r w:rsidR="0068309E">
        <w:t>apre</w:t>
      </w:r>
      <w:r>
        <w:t xml:space="preserve"> un </w:t>
      </w:r>
      <w:r w:rsidR="0068309E" w:rsidRPr="00B40F8D">
        <w:rPr>
          <w:b/>
        </w:rPr>
        <w:t xml:space="preserve">potenziale </w:t>
      </w:r>
      <w:r w:rsidRPr="00B40F8D">
        <w:rPr>
          <w:b/>
        </w:rPr>
        <w:t>conflitto di interessi e di competenze</w:t>
      </w:r>
      <w:r>
        <w:t xml:space="preserve"> tra il </w:t>
      </w:r>
      <w:r w:rsidRPr="00474EFD">
        <w:rPr>
          <w:b/>
        </w:rPr>
        <w:t>Ministro dell’Ambiente</w:t>
      </w:r>
      <w:r>
        <w:t xml:space="preserve"> (Autorità Nazionale per l’implementazione del</w:t>
      </w:r>
      <w:r w:rsidR="00474EFD">
        <w:t xml:space="preserve"> </w:t>
      </w:r>
      <w:r>
        <w:t xml:space="preserve">Protocollo di Nagoya) e il </w:t>
      </w:r>
      <w:r w:rsidRPr="00474EFD">
        <w:rPr>
          <w:b/>
        </w:rPr>
        <w:t>Ministero per le Politiche Agricole, Alimentari e Forestali</w:t>
      </w:r>
      <w:r w:rsidR="003A57C5">
        <w:t xml:space="preserve">, quest’ultimo quale </w:t>
      </w:r>
      <w:r>
        <w:t xml:space="preserve">gestore nazionale delle </w:t>
      </w:r>
      <w:r w:rsidR="00125F09">
        <w:t>Risorse G</w:t>
      </w:r>
      <w:r>
        <w:t xml:space="preserve">enetiche </w:t>
      </w:r>
      <w:r w:rsidR="009426D1">
        <w:t>destinate all</w:t>
      </w:r>
      <w:r>
        <w:t xml:space="preserve">’Alimentazione e </w:t>
      </w:r>
      <w:r w:rsidR="009426D1">
        <w:t>al</w:t>
      </w:r>
      <w:r>
        <w:t xml:space="preserve">l’Agricoltura (incluse le forestali). </w:t>
      </w:r>
    </w:p>
    <w:p w:rsidR="00006FE4" w:rsidRDefault="00323F12" w:rsidP="00350132">
      <w:pPr>
        <w:spacing w:after="0" w:line="240" w:lineRule="auto"/>
        <w:jc w:val="both"/>
      </w:pPr>
      <w:r>
        <w:t xml:space="preserve">Le </w:t>
      </w:r>
      <w:r w:rsidRPr="00B40F8D">
        <w:t>Risorse Genetiche per l’Alimentazione e l’Agricoltura</w:t>
      </w:r>
      <w:r w:rsidRPr="00474EFD">
        <w:rPr>
          <w:b/>
        </w:rPr>
        <w:t xml:space="preserve"> </w:t>
      </w:r>
      <w:r>
        <w:t>possono essere co</w:t>
      </w:r>
      <w:r w:rsidR="00125F09">
        <w:t xml:space="preserve">nsiderate, quindi, un sottogruppo </w:t>
      </w:r>
      <w:r w:rsidR="009426D1">
        <w:t xml:space="preserve"> del</w:t>
      </w:r>
      <w:r>
        <w:t xml:space="preserve">le risorse genetiche </w:t>
      </w:r>
      <w:r w:rsidR="009426D1">
        <w:t>oggetto del Protocollo di Nagoya,</w:t>
      </w:r>
      <w:r w:rsidR="00125F09">
        <w:t xml:space="preserve"> </w:t>
      </w:r>
      <w:r w:rsidR="00125F09" w:rsidRPr="00E40D89">
        <w:t xml:space="preserve">comprendente tutte quelle </w:t>
      </w:r>
      <w:r w:rsidR="009426D1" w:rsidRPr="00E40D89">
        <w:t xml:space="preserve"> RG</w:t>
      </w:r>
      <w:r w:rsidR="009426D1">
        <w:t xml:space="preserve"> di</w:t>
      </w:r>
      <w:r>
        <w:t xml:space="preserve"> attuale o futuro </w:t>
      </w:r>
      <w:r w:rsidRPr="00B40F8D">
        <w:t>impatto sul settore agricolo</w:t>
      </w:r>
      <w:r>
        <w:t xml:space="preserve"> del Paese</w:t>
      </w:r>
      <w:r w:rsidR="00474EFD">
        <w:t xml:space="preserve"> (come </w:t>
      </w:r>
      <w:r w:rsidR="009426D1">
        <w:t>inteso</w:t>
      </w:r>
      <w:r w:rsidR="00006FE4">
        <w:t xml:space="preserve"> </w:t>
      </w:r>
      <w:r w:rsidR="00A67B06">
        <w:t xml:space="preserve">ad esempio </w:t>
      </w:r>
      <w:r w:rsidR="00006FE4">
        <w:t>in documenti u</w:t>
      </w:r>
      <w:r w:rsidR="009426D1">
        <w:t>f</w:t>
      </w:r>
      <w:r w:rsidR="00006FE4">
        <w:t>ficiali quali quelli dell’ISTAT)</w:t>
      </w:r>
      <w:r>
        <w:t xml:space="preserve">. </w:t>
      </w:r>
      <w:r w:rsidR="00A67B06">
        <w:t>A questo proposito, si ricorda</w:t>
      </w:r>
      <w:r w:rsidR="003A57C5">
        <w:t xml:space="preserve"> che queste specie sono oggetto</w:t>
      </w:r>
      <w:r w:rsidR="00A67B06">
        <w:t xml:space="preserve"> di gestio</w:t>
      </w:r>
      <w:r w:rsidR="00640C89">
        <w:t xml:space="preserve">ne e tutela, a livello globale da parte </w:t>
      </w:r>
      <w:r w:rsidR="00A67B06">
        <w:t xml:space="preserve">della </w:t>
      </w:r>
      <w:r w:rsidR="00640C89">
        <w:t xml:space="preserve">FAO, </w:t>
      </w:r>
      <w:r w:rsidR="00A67B06">
        <w:t xml:space="preserve"> chiamata “</w:t>
      </w:r>
      <w:r w:rsidR="00A67B06" w:rsidRPr="00A67B06">
        <w:rPr>
          <w:b/>
        </w:rPr>
        <w:t>Food and Agriculture</w:t>
      </w:r>
      <w:r w:rsidR="00A67B06">
        <w:t xml:space="preserve"> </w:t>
      </w:r>
      <w:r w:rsidR="00A67B06" w:rsidRPr="003A57C5">
        <w:rPr>
          <w:b/>
        </w:rPr>
        <w:t>Organization of the United Nations</w:t>
      </w:r>
      <w:r w:rsidR="00A67B06">
        <w:t>”.</w:t>
      </w:r>
    </w:p>
    <w:p w:rsidR="009426D1" w:rsidRDefault="000A1887" w:rsidP="00350132">
      <w:pPr>
        <w:spacing w:after="0" w:line="240" w:lineRule="auto"/>
        <w:jc w:val="both"/>
      </w:pPr>
      <w:r>
        <w:t xml:space="preserve">Il </w:t>
      </w:r>
      <w:r w:rsidR="00323F12">
        <w:t xml:space="preserve"> Progetto “Risorse Genetiche Vegetali/Implementazione del Trattato Internazionale FAO” (acronomi RGV/FAO)</w:t>
      </w:r>
      <w:r w:rsidR="00006FE4">
        <w:t>,</w:t>
      </w:r>
      <w:r w:rsidR="00323F12">
        <w:t xml:space="preserve"> istituito e finanziato dal Mi</w:t>
      </w:r>
      <w:r w:rsidR="00474EFD">
        <w:t>PAAF dal 2004</w:t>
      </w:r>
      <w:r w:rsidR="00006FE4">
        <w:t>,</w:t>
      </w:r>
      <w:r w:rsidR="00474EFD">
        <w:t xml:space="preserve"> include</w:t>
      </w:r>
      <w:r>
        <w:t xml:space="preserve"> infatti</w:t>
      </w:r>
      <w:r w:rsidR="00323F12">
        <w:t xml:space="preserve">, </w:t>
      </w:r>
      <w:r w:rsidR="00474EFD">
        <w:t xml:space="preserve">oltre le “classiche” specie agricole, anche quelle ornamentali, aromatiche e forestali </w:t>
      </w:r>
      <w:r>
        <w:t xml:space="preserve">che ricadono nell’ambito di competenza del predetto Ministero </w:t>
      </w:r>
      <w:r w:rsidR="00474EFD">
        <w:t xml:space="preserve">(v. box 1). </w:t>
      </w:r>
    </w:p>
    <w:p w:rsidR="00474EFD" w:rsidRDefault="00474EFD" w:rsidP="00323F12">
      <w:pPr>
        <w:spacing w:after="0" w:line="240" w:lineRule="auto"/>
        <w:jc w:val="both"/>
      </w:pPr>
    </w:p>
    <w:tbl>
      <w:tblPr>
        <w:tblStyle w:val="Grigliatabella"/>
        <w:tblW w:w="0" w:type="auto"/>
        <w:tblInd w:w="2001" w:type="dxa"/>
        <w:tblBorders>
          <w:insideH w:val="none" w:sz="0" w:space="0" w:color="auto"/>
        </w:tblBorders>
        <w:tblLook w:val="04A0" w:firstRow="1" w:lastRow="0" w:firstColumn="1" w:lastColumn="0" w:noHBand="0" w:noVBand="1"/>
      </w:tblPr>
      <w:tblGrid>
        <w:gridCol w:w="4503"/>
      </w:tblGrid>
      <w:tr w:rsidR="00474EFD" w:rsidTr="00474EFD">
        <w:tc>
          <w:tcPr>
            <w:tcW w:w="4503" w:type="dxa"/>
            <w:shd w:val="clear" w:color="auto" w:fill="BFBFBF" w:themeFill="background1" w:themeFillShade="BF"/>
          </w:tcPr>
          <w:p w:rsidR="00474EFD" w:rsidRDefault="00474EFD" w:rsidP="00323F12">
            <w:pPr>
              <w:jc w:val="both"/>
            </w:pPr>
            <w:r w:rsidRPr="00474EFD">
              <w:rPr>
                <w:b/>
              </w:rPr>
              <w:t>Box 1:</w:t>
            </w:r>
            <w:r>
              <w:t xml:space="preserve"> </w:t>
            </w:r>
            <w:r w:rsidR="00EC0926">
              <w:rPr>
                <w:b/>
              </w:rPr>
              <w:t>Tipologia di specie di</w:t>
            </w:r>
            <w:r w:rsidRPr="00B36F51">
              <w:rPr>
                <w:b/>
              </w:rPr>
              <w:t xml:space="preserve"> competenza del MiPAAF incluse nel Progetto Nazionale “RGV/FAO”</w:t>
            </w:r>
          </w:p>
        </w:tc>
      </w:tr>
      <w:tr w:rsidR="00474EFD" w:rsidTr="00474EFD">
        <w:tc>
          <w:tcPr>
            <w:tcW w:w="4503" w:type="dxa"/>
          </w:tcPr>
          <w:p w:rsidR="00474EFD" w:rsidRDefault="00474EFD" w:rsidP="009426D1">
            <w:pPr>
              <w:jc w:val="both"/>
            </w:pPr>
            <w:r>
              <w:t xml:space="preserve">Cereali, Ortive, </w:t>
            </w:r>
            <w:r w:rsidR="009426D1">
              <w:t>Fruttiferi</w:t>
            </w:r>
            <w:r>
              <w:t xml:space="preserve">, Agrumi, Olivo, Vite, </w:t>
            </w:r>
            <w:r w:rsidR="009426D1">
              <w:t>S</w:t>
            </w:r>
            <w:r>
              <w:t>pecie industriali, forestali, aromatiche, foraggere</w:t>
            </w:r>
          </w:p>
        </w:tc>
      </w:tr>
    </w:tbl>
    <w:p w:rsidR="00BF6595" w:rsidRDefault="00BF6595" w:rsidP="00BF6595">
      <w:pPr>
        <w:spacing w:after="0" w:line="240" w:lineRule="auto"/>
        <w:jc w:val="both"/>
      </w:pPr>
    </w:p>
    <w:p w:rsidR="00BF6595" w:rsidRPr="00EC0926" w:rsidRDefault="00BF6595" w:rsidP="00BF6595">
      <w:pPr>
        <w:spacing w:after="0" w:line="240" w:lineRule="auto"/>
        <w:jc w:val="both"/>
        <w:rPr>
          <w:b/>
          <w:u w:val="single"/>
        </w:rPr>
      </w:pPr>
      <w:r>
        <w:t xml:space="preserve">Con il </w:t>
      </w:r>
      <w:r w:rsidRPr="00EC0926">
        <w:rPr>
          <w:b/>
          <w:u w:val="single"/>
        </w:rPr>
        <w:t xml:space="preserve">presente Disegno di Legge, senza interventi correttivi  </w:t>
      </w:r>
      <w:r w:rsidRPr="00CF342E">
        <w:rPr>
          <w:b/>
          <w:u w:val="single"/>
        </w:rPr>
        <w:t xml:space="preserve">la maggior parte delle </w:t>
      </w:r>
      <w:r w:rsidRPr="00EC0926">
        <w:rPr>
          <w:b/>
          <w:u w:val="single"/>
        </w:rPr>
        <w:t xml:space="preserve">RGVAA rientrerebbero nelle competenze  del Ministero dell’Ambiente che potrebbe regolamentarne la gestione e le modalità di scambio, l’ utilizzo e le condizioni per la ripartizione dei benefici derivanti da questo utilizzo. </w:t>
      </w:r>
    </w:p>
    <w:p w:rsidR="00474EFD" w:rsidRPr="000957B5" w:rsidRDefault="00474EFD" w:rsidP="00B54272">
      <w:pPr>
        <w:spacing w:after="0" w:line="240" w:lineRule="auto"/>
        <w:rPr>
          <w:b/>
        </w:rPr>
      </w:pPr>
    </w:p>
    <w:p w:rsidR="00006FE4" w:rsidRPr="000957B5" w:rsidRDefault="00006FE4" w:rsidP="00006FE4">
      <w:pPr>
        <w:pStyle w:val="Paragrafoelenco"/>
        <w:numPr>
          <w:ilvl w:val="0"/>
          <w:numId w:val="1"/>
        </w:numPr>
        <w:spacing w:after="0" w:line="240" w:lineRule="auto"/>
        <w:rPr>
          <w:b/>
        </w:rPr>
      </w:pPr>
      <w:r w:rsidRPr="000957B5">
        <w:rPr>
          <w:b/>
        </w:rPr>
        <w:t>Il Trattato Internazionale FAO sulle Risorse Genetiche Vegetali per l’Alimentazione e l’Agricoltura</w:t>
      </w:r>
    </w:p>
    <w:p w:rsidR="00215A8D" w:rsidRDefault="00215A8D" w:rsidP="00215A8D">
      <w:pPr>
        <w:spacing w:after="0" w:line="240" w:lineRule="auto"/>
        <w:jc w:val="both"/>
        <w:rPr>
          <w:b/>
        </w:rPr>
      </w:pPr>
      <w:r>
        <w:t>Il Trattato Internazionale della FAO sulle Risorse Genetiche Vegetali per l’Alimentazione e l’Agricoltura (RGVAA) comprende nell’Allegato I (Annex I) un elenco di circa 64 specie ritenute essenziali per l’alimentazione umana il cui scambio deve essere accompagnato dal</w:t>
      </w:r>
      <w:r w:rsidR="00B33955">
        <w:t>lo</w:t>
      </w:r>
      <w:r>
        <w:t xml:space="preserve"> standard Material Transfer Agreement (sMTA).  Attualmente, sono incluse per</w:t>
      </w:r>
      <w:r w:rsidR="00EC0926">
        <w:t xml:space="preserve"> </w:t>
      </w:r>
      <w:r>
        <w:t>lo</w:t>
      </w:r>
      <w:r w:rsidR="00EC0926">
        <w:t xml:space="preserve"> </w:t>
      </w:r>
      <w:r>
        <w:t xml:space="preserve">più specie cerealicole e foraggere, mentre molte specie ortive e frutticole non sono state considerate </w:t>
      </w:r>
      <w:r w:rsidRPr="00E40D89">
        <w:t>(v. tabella 1</w:t>
      </w:r>
      <w:r w:rsidR="000957B5" w:rsidRPr="00E40D89">
        <w:t>)</w:t>
      </w:r>
      <w:r w:rsidR="000957B5">
        <w:t xml:space="preserve"> e</w:t>
      </w:r>
      <w:r w:rsidR="00EC0926">
        <w:t xml:space="preserve"> </w:t>
      </w:r>
      <w:r w:rsidR="00EC0926" w:rsidRPr="00B40F8D">
        <w:rPr>
          <w:b/>
        </w:rPr>
        <w:t>ricadranno di conseguenza nella</w:t>
      </w:r>
      <w:r w:rsidR="000957B5" w:rsidRPr="00B40F8D">
        <w:rPr>
          <w:b/>
        </w:rPr>
        <w:t xml:space="preserve"> competenza del Ministero dell’Ambiente.</w:t>
      </w:r>
    </w:p>
    <w:p w:rsidR="00BF6595" w:rsidRPr="00B40F8D" w:rsidRDefault="00BF6595" w:rsidP="00215A8D">
      <w:pPr>
        <w:spacing w:after="0" w:line="240" w:lineRule="auto"/>
        <w:jc w:val="both"/>
        <w:rPr>
          <w:b/>
        </w:rPr>
      </w:pPr>
    </w:p>
    <w:tbl>
      <w:tblPr>
        <w:tblStyle w:val="Grigliatabella"/>
        <w:tblpPr w:leftFromText="141" w:rightFromText="141" w:vertAnchor="text" w:horzAnchor="margin" w:tblpY="98"/>
        <w:tblW w:w="0" w:type="auto"/>
        <w:tblLook w:val="04A0" w:firstRow="1" w:lastRow="0" w:firstColumn="1" w:lastColumn="0" w:noHBand="0" w:noVBand="1"/>
      </w:tblPr>
      <w:tblGrid>
        <w:gridCol w:w="2235"/>
        <w:gridCol w:w="3402"/>
        <w:gridCol w:w="4141"/>
      </w:tblGrid>
      <w:tr w:rsidR="00E40D89" w:rsidTr="00E40D89">
        <w:tc>
          <w:tcPr>
            <w:tcW w:w="9778" w:type="dxa"/>
            <w:gridSpan w:val="3"/>
            <w:tcBorders>
              <w:top w:val="nil"/>
              <w:left w:val="nil"/>
              <w:bottom w:val="single" w:sz="4" w:space="0" w:color="auto"/>
              <w:right w:val="nil"/>
            </w:tcBorders>
          </w:tcPr>
          <w:p w:rsidR="00E40D89" w:rsidRPr="002A50D4" w:rsidRDefault="00E40D89" w:rsidP="00E40D89">
            <w:pPr>
              <w:jc w:val="both"/>
              <w:rPr>
                <w:b/>
              </w:rPr>
            </w:pPr>
            <w:r w:rsidRPr="002A50D4">
              <w:rPr>
                <w:b/>
              </w:rPr>
              <w:t xml:space="preserve">Tab. 1: Specie attualmente incluse nell’Annex I del Trattato e principali specie finora escluse </w:t>
            </w:r>
          </w:p>
        </w:tc>
      </w:tr>
      <w:tr w:rsidR="00E40D89" w:rsidTr="00E40D89">
        <w:tc>
          <w:tcPr>
            <w:tcW w:w="2235" w:type="dxa"/>
            <w:tcBorders>
              <w:bottom w:val="single" w:sz="4" w:space="0" w:color="auto"/>
            </w:tcBorders>
            <w:shd w:val="clear" w:color="auto" w:fill="BFBFBF" w:themeFill="background1" w:themeFillShade="BF"/>
          </w:tcPr>
          <w:p w:rsidR="00E40D89" w:rsidRPr="00BF5687" w:rsidRDefault="00E40D89" w:rsidP="00E40D89">
            <w:pPr>
              <w:jc w:val="both"/>
              <w:rPr>
                <w:b/>
              </w:rPr>
            </w:pPr>
            <w:r w:rsidRPr="00BF5687">
              <w:rPr>
                <w:b/>
              </w:rPr>
              <w:t>Categoria di specie</w:t>
            </w:r>
          </w:p>
        </w:tc>
        <w:tc>
          <w:tcPr>
            <w:tcW w:w="3402" w:type="dxa"/>
            <w:tcBorders>
              <w:bottom w:val="single" w:sz="4" w:space="0" w:color="auto"/>
            </w:tcBorders>
            <w:shd w:val="clear" w:color="auto" w:fill="BFBFBF" w:themeFill="background1" w:themeFillShade="BF"/>
          </w:tcPr>
          <w:p w:rsidR="00E40D89" w:rsidRPr="00BF5687" w:rsidRDefault="00E40D89" w:rsidP="00E40D89">
            <w:pPr>
              <w:jc w:val="both"/>
              <w:rPr>
                <w:b/>
              </w:rPr>
            </w:pPr>
            <w:r w:rsidRPr="00BF5687">
              <w:rPr>
                <w:b/>
              </w:rPr>
              <w:t>specie incluse (incl. i loro parenti selvatici)</w:t>
            </w:r>
          </w:p>
        </w:tc>
        <w:tc>
          <w:tcPr>
            <w:tcW w:w="4141" w:type="dxa"/>
            <w:tcBorders>
              <w:bottom w:val="single" w:sz="4" w:space="0" w:color="auto"/>
            </w:tcBorders>
            <w:shd w:val="clear" w:color="auto" w:fill="BFBFBF" w:themeFill="background1" w:themeFillShade="BF"/>
          </w:tcPr>
          <w:p w:rsidR="00E40D89" w:rsidRPr="00BF5687" w:rsidRDefault="00E40D89" w:rsidP="00E40D89">
            <w:pPr>
              <w:rPr>
                <w:b/>
              </w:rPr>
            </w:pPr>
            <w:r w:rsidRPr="00BF5687">
              <w:rPr>
                <w:b/>
              </w:rPr>
              <w:t>Principali specie di interesse italiano finora omesse</w:t>
            </w:r>
            <w:r>
              <w:rPr>
                <w:b/>
              </w:rPr>
              <w:t xml:space="preserve"> (elenchi non esaustivi)</w:t>
            </w:r>
          </w:p>
        </w:tc>
      </w:tr>
      <w:tr w:rsidR="00E40D89" w:rsidTr="00E40D89">
        <w:tc>
          <w:tcPr>
            <w:tcW w:w="9778" w:type="dxa"/>
            <w:gridSpan w:val="3"/>
            <w:tcBorders>
              <w:left w:val="nil"/>
              <w:right w:val="nil"/>
            </w:tcBorders>
          </w:tcPr>
          <w:p w:rsidR="00E40D89" w:rsidRPr="00EB7426" w:rsidRDefault="00E40D89" w:rsidP="00E40D89">
            <w:pPr>
              <w:jc w:val="center"/>
              <w:rPr>
                <w:b/>
              </w:rPr>
            </w:pPr>
            <w:r w:rsidRPr="00EB7426">
              <w:rPr>
                <w:b/>
              </w:rPr>
              <w:t>alimentazione umana</w:t>
            </w:r>
          </w:p>
        </w:tc>
      </w:tr>
      <w:tr w:rsidR="00E40D89" w:rsidTr="00E40D89">
        <w:tc>
          <w:tcPr>
            <w:tcW w:w="2235" w:type="dxa"/>
          </w:tcPr>
          <w:p w:rsidR="00E40D89" w:rsidRPr="00BF5687" w:rsidRDefault="00E40D89" w:rsidP="00E40D89">
            <w:pPr>
              <w:rPr>
                <w:b/>
              </w:rPr>
            </w:pPr>
            <w:r w:rsidRPr="00BF5687">
              <w:rPr>
                <w:b/>
              </w:rPr>
              <w:t>Cereali</w:t>
            </w:r>
          </w:p>
        </w:tc>
        <w:tc>
          <w:tcPr>
            <w:tcW w:w="3402" w:type="dxa"/>
          </w:tcPr>
          <w:p w:rsidR="00E40D89" w:rsidRDefault="00E40D89" w:rsidP="00E40D89">
            <w:r>
              <w:t>Avena, frumento, mais, miglio, orzo, riso, secale, sorgo</w:t>
            </w:r>
          </w:p>
        </w:tc>
        <w:tc>
          <w:tcPr>
            <w:tcW w:w="4141" w:type="dxa"/>
          </w:tcPr>
          <w:p w:rsidR="00E40D89" w:rsidRDefault="00E40D89" w:rsidP="00E40D89"/>
        </w:tc>
      </w:tr>
      <w:tr w:rsidR="00E40D89" w:rsidTr="00E40D89">
        <w:tc>
          <w:tcPr>
            <w:tcW w:w="2235" w:type="dxa"/>
          </w:tcPr>
          <w:p w:rsidR="00E40D89" w:rsidRPr="00BF5687" w:rsidRDefault="00E40D89" w:rsidP="00E40D89">
            <w:pPr>
              <w:rPr>
                <w:b/>
              </w:rPr>
            </w:pPr>
            <w:r w:rsidRPr="00BF5687">
              <w:rPr>
                <w:b/>
              </w:rPr>
              <w:t>Ortaggi e leguminose</w:t>
            </w:r>
          </w:p>
        </w:tc>
        <w:tc>
          <w:tcPr>
            <w:tcW w:w="3402" w:type="dxa"/>
          </w:tcPr>
          <w:p w:rsidR="00E40D89" w:rsidRDefault="00E40D89" w:rsidP="00E40D89">
            <w:r>
              <w:t>asparago, bieta, il gruppo delle Brassiche,  caiano, cece, cicerchia, fagiolo, fava, lenticchia, melanzana, piselli, vicia</w:t>
            </w:r>
          </w:p>
        </w:tc>
        <w:tc>
          <w:tcPr>
            <w:tcW w:w="4141" w:type="dxa"/>
          </w:tcPr>
          <w:p w:rsidR="00E40D89" w:rsidRDefault="00E40D89" w:rsidP="00E40D89">
            <w:r>
              <w:t>carciofo, cardo, cetriolo, cicoria, cipolla, finocchio, insalata varie, meloni, peperone, pomodoro, spinaci, zucca, zucchine ecc</w:t>
            </w:r>
          </w:p>
        </w:tc>
      </w:tr>
      <w:tr w:rsidR="00E40D89" w:rsidTr="00E40D89">
        <w:tc>
          <w:tcPr>
            <w:tcW w:w="2235" w:type="dxa"/>
          </w:tcPr>
          <w:p w:rsidR="00E40D89" w:rsidRPr="00BF5687" w:rsidRDefault="00E40D89" w:rsidP="00E40D89">
            <w:pPr>
              <w:rPr>
                <w:b/>
              </w:rPr>
            </w:pPr>
            <w:r w:rsidRPr="00BF5687">
              <w:rPr>
                <w:b/>
              </w:rPr>
              <w:t>Frutta</w:t>
            </w:r>
          </w:p>
        </w:tc>
        <w:tc>
          <w:tcPr>
            <w:tcW w:w="3402" w:type="dxa"/>
          </w:tcPr>
          <w:p w:rsidR="00E40D89" w:rsidRDefault="00E40D89" w:rsidP="00E40D89">
            <w:r>
              <w:t>Agrumi, albero del pane, banana, fragola, melo, noce di cocco</w:t>
            </w:r>
          </w:p>
        </w:tc>
        <w:tc>
          <w:tcPr>
            <w:tcW w:w="4141" w:type="dxa"/>
          </w:tcPr>
          <w:p w:rsidR="00E40D89" w:rsidRDefault="00E40D89" w:rsidP="00E40D89">
            <w:r>
              <w:t>actinidia, albicocco, castagno, ciliegio, fico, mandorlo, melograno, nocciolo, noce, pero, pesco, piccoli frutti, pistacchio, susino, ecc</w:t>
            </w:r>
          </w:p>
        </w:tc>
      </w:tr>
      <w:tr w:rsidR="00E40D89" w:rsidTr="00E40D89">
        <w:tc>
          <w:tcPr>
            <w:tcW w:w="2235" w:type="dxa"/>
          </w:tcPr>
          <w:p w:rsidR="00E40D89" w:rsidRPr="00BF5687" w:rsidRDefault="00E40D89" w:rsidP="00E40D89">
            <w:pPr>
              <w:jc w:val="both"/>
              <w:rPr>
                <w:b/>
              </w:rPr>
            </w:pPr>
            <w:r w:rsidRPr="00BF5687">
              <w:rPr>
                <w:b/>
              </w:rPr>
              <w:t>Tuberi</w:t>
            </w:r>
          </w:p>
        </w:tc>
        <w:tc>
          <w:tcPr>
            <w:tcW w:w="3402" w:type="dxa"/>
          </w:tcPr>
          <w:p w:rsidR="00E40D89" w:rsidRDefault="00E40D89" w:rsidP="00E40D89">
            <w:pPr>
              <w:jc w:val="both"/>
            </w:pPr>
            <w:r>
              <w:t xml:space="preserve">carota, manioca, patata, patata dolce, taro e altri tuberi tropicali </w:t>
            </w:r>
          </w:p>
        </w:tc>
        <w:tc>
          <w:tcPr>
            <w:tcW w:w="4141" w:type="dxa"/>
          </w:tcPr>
          <w:p w:rsidR="00E40D89" w:rsidRDefault="00E40D89" w:rsidP="00E40D89"/>
        </w:tc>
      </w:tr>
      <w:tr w:rsidR="00E40D89" w:rsidTr="00E40D89">
        <w:tc>
          <w:tcPr>
            <w:tcW w:w="2235" w:type="dxa"/>
            <w:tcBorders>
              <w:bottom w:val="single" w:sz="4" w:space="0" w:color="auto"/>
            </w:tcBorders>
          </w:tcPr>
          <w:p w:rsidR="00E40D89" w:rsidRPr="00BF5687" w:rsidRDefault="00E40D89" w:rsidP="00E40D89">
            <w:pPr>
              <w:jc w:val="both"/>
              <w:rPr>
                <w:b/>
              </w:rPr>
            </w:pPr>
            <w:r w:rsidRPr="00BF5687">
              <w:rPr>
                <w:b/>
              </w:rPr>
              <w:t>Altre specie</w:t>
            </w:r>
          </w:p>
        </w:tc>
        <w:tc>
          <w:tcPr>
            <w:tcW w:w="3402" w:type="dxa"/>
            <w:tcBorders>
              <w:bottom w:val="single" w:sz="4" w:space="0" w:color="auto"/>
            </w:tcBorders>
          </w:tcPr>
          <w:p w:rsidR="00E40D89" w:rsidRDefault="00E40D89" w:rsidP="00E40D89">
            <w:pPr>
              <w:jc w:val="both"/>
            </w:pPr>
            <w:r>
              <w:t>girasole</w:t>
            </w:r>
          </w:p>
        </w:tc>
        <w:tc>
          <w:tcPr>
            <w:tcW w:w="4141" w:type="dxa"/>
            <w:tcBorders>
              <w:bottom w:val="single" w:sz="4" w:space="0" w:color="auto"/>
            </w:tcBorders>
          </w:tcPr>
          <w:p w:rsidR="00E40D89" w:rsidRDefault="00E40D89" w:rsidP="00B36F51">
            <w:r>
              <w:t>specie aromatiche</w:t>
            </w:r>
            <w:r w:rsidR="00B36F51">
              <w:t>,</w:t>
            </w:r>
            <w:r>
              <w:t xml:space="preserve"> </w:t>
            </w:r>
            <w:r w:rsidR="00B36F51">
              <w:t xml:space="preserve"> </w:t>
            </w:r>
            <w:r>
              <w:t>da fibra, ecc</w:t>
            </w:r>
          </w:p>
        </w:tc>
      </w:tr>
      <w:tr w:rsidR="00E40D89" w:rsidTr="00E40D89">
        <w:tc>
          <w:tcPr>
            <w:tcW w:w="9778" w:type="dxa"/>
            <w:gridSpan w:val="3"/>
            <w:tcBorders>
              <w:left w:val="nil"/>
              <w:right w:val="nil"/>
            </w:tcBorders>
          </w:tcPr>
          <w:p w:rsidR="00E40D89" w:rsidRPr="00F04FEF" w:rsidRDefault="00E40D89" w:rsidP="00E40D89">
            <w:pPr>
              <w:jc w:val="center"/>
              <w:rPr>
                <w:b/>
              </w:rPr>
            </w:pPr>
            <w:r w:rsidRPr="00F04FEF">
              <w:rPr>
                <w:b/>
              </w:rPr>
              <w:t>alimentazione animale</w:t>
            </w:r>
          </w:p>
        </w:tc>
      </w:tr>
      <w:tr w:rsidR="00E40D89" w:rsidRPr="002A50D4" w:rsidTr="00E40D89">
        <w:tc>
          <w:tcPr>
            <w:tcW w:w="2235" w:type="dxa"/>
          </w:tcPr>
          <w:p w:rsidR="00E40D89" w:rsidRPr="00BF5687" w:rsidRDefault="00E40D89" w:rsidP="00E40D89">
            <w:pPr>
              <w:rPr>
                <w:b/>
              </w:rPr>
            </w:pPr>
            <w:r w:rsidRPr="00BF5687">
              <w:rPr>
                <w:b/>
              </w:rPr>
              <w:t>foraggere erbacee</w:t>
            </w:r>
          </w:p>
        </w:tc>
        <w:tc>
          <w:tcPr>
            <w:tcW w:w="3402" w:type="dxa"/>
          </w:tcPr>
          <w:p w:rsidR="00E40D89" w:rsidRPr="002A50D4" w:rsidRDefault="00E40D89" w:rsidP="00E40D89">
            <w:r w:rsidRPr="002A50D4">
              <w:t xml:space="preserve">alcune specie di </w:t>
            </w:r>
            <w:r w:rsidRPr="00BF5687">
              <w:rPr>
                <w:i/>
              </w:rPr>
              <w:t>Andropogon</w:t>
            </w:r>
            <w:r w:rsidRPr="002A50D4">
              <w:t xml:space="preserve">, </w:t>
            </w:r>
            <w:r w:rsidRPr="00BF5687">
              <w:rPr>
                <w:i/>
              </w:rPr>
              <w:t>Agropyron</w:t>
            </w:r>
            <w:r w:rsidRPr="002A50D4">
              <w:t xml:space="preserve">, </w:t>
            </w:r>
            <w:r w:rsidRPr="00BF5687">
              <w:rPr>
                <w:i/>
              </w:rPr>
              <w:t>Agrostis</w:t>
            </w:r>
            <w:r w:rsidRPr="002A50D4">
              <w:t xml:space="preserve">, </w:t>
            </w:r>
            <w:r w:rsidRPr="00BF5687">
              <w:rPr>
                <w:i/>
              </w:rPr>
              <w:t>Alopecurus</w:t>
            </w:r>
            <w:r w:rsidRPr="002A50D4">
              <w:t xml:space="preserve">, </w:t>
            </w:r>
            <w:r w:rsidRPr="00BF5687">
              <w:rPr>
                <w:i/>
              </w:rPr>
              <w:t>Arrhenaterum</w:t>
            </w:r>
            <w:r w:rsidRPr="002A50D4">
              <w:t xml:space="preserve">, </w:t>
            </w:r>
            <w:r w:rsidRPr="00BF5687">
              <w:rPr>
                <w:i/>
              </w:rPr>
              <w:t>Dactylis</w:t>
            </w:r>
            <w:r w:rsidRPr="002A50D4">
              <w:t xml:space="preserve">, </w:t>
            </w:r>
            <w:r w:rsidRPr="00BF5687">
              <w:rPr>
                <w:i/>
              </w:rPr>
              <w:t>Festuca</w:t>
            </w:r>
            <w:r w:rsidRPr="002A50D4">
              <w:t xml:space="preserve">, </w:t>
            </w:r>
            <w:r w:rsidRPr="00BF5687">
              <w:rPr>
                <w:i/>
              </w:rPr>
              <w:t>Lolium</w:t>
            </w:r>
            <w:r w:rsidRPr="002A50D4">
              <w:t xml:space="preserve">, </w:t>
            </w:r>
            <w:r w:rsidRPr="00BF5687">
              <w:rPr>
                <w:i/>
              </w:rPr>
              <w:t>Phalaris</w:t>
            </w:r>
            <w:r w:rsidRPr="002A50D4">
              <w:t xml:space="preserve">, </w:t>
            </w:r>
            <w:r w:rsidRPr="00BF5687">
              <w:rPr>
                <w:i/>
              </w:rPr>
              <w:t>Phleum</w:t>
            </w:r>
            <w:r w:rsidRPr="002A50D4">
              <w:t xml:space="preserve">, </w:t>
            </w:r>
            <w:r w:rsidRPr="00BF5687">
              <w:rPr>
                <w:i/>
              </w:rPr>
              <w:t>Poa</w:t>
            </w:r>
            <w:r w:rsidRPr="002A50D4">
              <w:t xml:space="preserve">, </w:t>
            </w:r>
            <w:r w:rsidRPr="00BF5687">
              <w:rPr>
                <w:i/>
              </w:rPr>
              <w:t>Tripsacum</w:t>
            </w:r>
          </w:p>
        </w:tc>
        <w:tc>
          <w:tcPr>
            <w:tcW w:w="4141" w:type="dxa"/>
          </w:tcPr>
          <w:p w:rsidR="00E40D89" w:rsidRPr="002A50D4" w:rsidRDefault="00E40D89" w:rsidP="00E40D89">
            <w:r>
              <w:t xml:space="preserve">le rimanenti specie dei queste colture; </w:t>
            </w:r>
            <w:r w:rsidRPr="00B36F51">
              <w:rPr>
                <w:i/>
              </w:rPr>
              <w:t>Aegilops</w:t>
            </w:r>
            <w:r>
              <w:t>, ecc</w:t>
            </w:r>
          </w:p>
        </w:tc>
      </w:tr>
      <w:tr w:rsidR="00E40D89" w:rsidRPr="002A50D4" w:rsidTr="00E40D89">
        <w:tc>
          <w:tcPr>
            <w:tcW w:w="2235" w:type="dxa"/>
          </w:tcPr>
          <w:p w:rsidR="00E40D89" w:rsidRPr="00BF5687" w:rsidRDefault="00E40D89" w:rsidP="00E40D89">
            <w:pPr>
              <w:rPr>
                <w:b/>
                <w:lang w:val="en-US"/>
              </w:rPr>
            </w:pPr>
            <w:r w:rsidRPr="00BF5687">
              <w:rPr>
                <w:b/>
                <w:lang w:val="en-US"/>
              </w:rPr>
              <w:t>foraggere leguminose</w:t>
            </w:r>
          </w:p>
        </w:tc>
        <w:tc>
          <w:tcPr>
            <w:tcW w:w="3402" w:type="dxa"/>
          </w:tcPr>
          <w:p w:rsidR="00E40D89" w:rsidRPr="002A50D4" w:rsidRDefault="00E40D89" w:rsidP="00E40D89">
            <w:pPr>
              <w:rPr>
                <w:lang w:val="en-US"/>
              </w:rPr>
            </w:pPr>
            <w:r w:rsidRPr="002A50D4">
              <w:rPr>
                <w:lang w:val="en-US"/>
              </w:rPr>
              <w:t xml:space="preserve">alcune specie di </w:t>
            </w:r>
            <w:r w:rsidRPr="00BF5687">
              <w:rPr>
                <w:i/>
                <w:lang w:val="en-US"/>
              </w:rPr>
              <w:t>Astragalus</w:t>
            </w:r>
            <w:r w:rsidRPr="002A50D4">
              <w:rPr>
                <w:lang w:val="en-US"/>
              </w:rPr>
              <w:t xml:space="preserve">, </w:t>
            </w:r>
            <w:r w:rsidRPr="00BF5687">
              <w:rPr>
                <w:i/>
                <w:lang w:val="en-US"/>
              </w:rPr>
              <w:t>Canavalia</w:t>
            </w:r>
            <w:r w:rsidRPr="002A50D4">
              <w:rPr>
                <w:lang w:val="en-US"/>
              </w:rPr>
              <w:t xml:space="preserve">, </w:t>
            </w:r>
            <w:r w:rsidRPr="00BF5687">
              <w:rPr>
                <w:i/>
                <w:lang w:val="en-US"/>
              </w:rPr>
              <w:t>Coronilla</w:t>
            </w:r>
            <w:r w:rsidRPr="002A50D4">
              <w:rPr>
                <w:lang w:val="en-US"/>
              </w:rPr>
              <w:t xml:space="preserve">, </w:t>
            </w:r>
            <w:r w:rsidRPr="00BF5687">
              <w:rPr>
                <w:i/>
                <w:lang w:val="en-US"/>
              </w:rPr>
              <w:t>Hedysarum</w:t>
            </w:r>
            <w:r w:rsidRPr="002A50D4">
              <w:rPr>
                <w:lang w:val="en-US"/>
              </w:rPr>
              <w:t xml:space="preserve">, </w:t>
            </w:r>
            <w:r w:rsidRPr="00BF5687">
              <w:rPr>
                <w:i/>
                <w:lang w:val="en-US"/>
              </w:rPr>
              <w:t>Lathyrus</w:t>
            </w:r>
            <w:r w:rsidRPr="002A50D4">
              <w:rPr>
                <w:lang w:val="en-US"/>
              </w:rPr>
              <w:t xml:space="preserve">, </w:t>
            </w:r>
            <w:r w:rsidRPr="00BF5687">
              <w:rPr>
                <w:i/>
                <w:lang w:val="en-US"/>
              </w:rPr>
              <w:t>Lespedeza</w:t>
            </w:r>
            <w:r w:rsidRPr="002A50D4">
              <w:rPr>
                <w:lang w:val="en-US"/>
              </w:rPr>
              <w:t xml:space="preserve">, </w:t>
            </w:r>
            <w:r w:rsidRPr="00BF5687">
              <w:rPr>
                <w:i/>
                <w:lang w:val="en-US"/>
              </w:rPr>
              <w:t>Lotus</w:t>
            </w:r>
            <w:r w:rsidRPr="002A50D4">
              <w:rPr>
                <w:lang w:val="en-US"/>
              </w:rPr>
              <w:t xml:space="preserve">, </w:t>
            </w:r>
            <w:r w:rsidRPr="00BF5687">
              <w:rPr>
                <w:i/>
                <w:lang w:val="en-US"/>
              </w:rPr>
              <w:t>Lupinus</w:t>
            </w:r>
            <w:r w:rsidRPr="002A50D4">
              <w:rPr>
                <w:lang w:val="en-US"/>
              </w:rPr>
              <w:t xml:space="preserve">, </w:t>
            </w:r>
            <w:r w:rsidRPr="00BF5687">
              <w:rPr>
                <w:i/>
                <w:lang w:val="en-US"/>
              </w:rPr>
              <w:t>Medicago</w:t>
            </w:r>
            <w:r w:rsidRPr="002A50D4">
              <w:rPr>
                <w:lang w:val="en-US"/>
              </w:rPr>
              <w:t xml:space="preserve">, </w:t>
            </w:r>
            <w:r w:rsidRPr="00BF5687">
              <w:rPr>
                <w:i/>
                <w:lang w:val="en-US"/>
              </w:rPr>
              <w:t>Melilotus</w:t>
            </w:r>
            <w:r w:rsidRPr="002A50D4">
              <w:rPr>
                <w:lang w:val="en-US"/>
              </w:rPr>
              <w:t xml:space="preserve">, </w:t>
            </w:r>
            <w:r w:rsidRPr="00BF5687">
              <w:rPr>
                <w:i/>
                <w:lang w:val="en-US"/>
              </w:rPr>
              <w:t>Onobrychis</w:t>
            </w:r>
            <w:r w:rsidRPr="002A50D4">
              <w:rPr>
                <w:lang w:val="en-US"/>
              </w:rPr>
              <w:t xml:space="preserve">, </w:t>
            </w:r>
            <w:r w:rsidRPr="00BF5687">
              <w:rPr>
                <w:i/>
                <w:lang w:val="en-US"/>
              </w:rPr>
              <w:t>Prosopis</w:t>
            </w:r>
            <w:r w:rsidRPr="002A50D4">
              <w:rPr>
                <w:lang w:val="en-US"/>
              </w:rPr>
              <w:t xml:space="preserve">, </w:t>
            </w:r>
            <w:r w:rsidRPr="00BF5687">
              <w:rPr>
                <w:i/>
                <w:lang w:val="en-US"/>
              </w:rPr>
              <w:t>Pueraria</w:t>
            </w:r>
            <w:r w:rsidRPr="002A50D4">
              <w:rPr>
                <w:lang w:val="en-US"/>
              </w:rPr>
              <w:t xml:space="preserve">, </w:t>
            </w:r>
            <w:r w:rsidRPr="00BF5687">
              <w:rPr>
                <w:i/>
                <w:lang w:val="en-US"/>
              </w:rPr>
              <w:t>Trifolium</w:t>
            </w:r>
          </w:p>
        </w:tc>
        <w:tc>
          <w:tcPr>
            <w:tcW w:w="4141" w:type="dxa"/>
          </w:tcPr>
          <w:p w:rsidR="00E40D89" w:rsidRPr="002A50D4" w:rsidRDefault="00E40D89" w:rsidP="00E40D89">
            <w:r>
              <w:t>le rimanenti specie dei queste colture; ecc</w:t>
            </w:r>
          </w:p>
        </w:tc>
      </w:tr>
      <w:tr w:rsidR="00E40D89" w:rsidRPr="002A50D4" w:rsidTr="00E40D89">
        <w:tc>
          <w:tcPr>
            <w:tcW w:w="2235" w:type="dxa"/>
          </w:tcPr>
          <w:p w:rsidR="00E40D89" w:rsidRPr="00BF5687" w:rsidRDefault="00E40D89" w:rsidP="00E40D89">
            <w:pPr>
              <w:rPr>
                <w:b/>
              </w:rPr>
            </w:pPr>
            <w:r w:rsidRPr="00BF5687">
              <w:rPr>
                <w:b/>
              </w:rPr>
              <w:t>Altre specie</w:t>
            </w:r>
          </w:p>
        </w:tc>
        <w:tc>
          <w:tcPr>
            <w:tcW w:w="3402" w:type="dxa"/>
          </w:tcPr>
          <w:p w:rsidR="00E40D89" w:rsidRPr="002A50D4" w:rsidRDefault="00E40D89" w:rsidP="00E40D89">
            <w:r w:rsidRPr="00BF5687">
              <w:rPr>
                <w:i/>
              </w:rPr>
              <w:t>Atriplex</w:t>
            </w:r>
            <w:r>
              <w:t xml:space="preserve">, </w:t>
            </w:r>
            <w:r w:rsidRPr="00BF5687">
              <w:rPr>
                <w:i/>
              </w:rPr>
              <w:t>Salsola</w:t>
            </w:r>
          </w:p>
        </w:tc>
        <w:tc>
          <w:tcPr>
            <w:tcW w:w="4141" w:type="dxa"/>
          </w:tcPr>
          <w:p w:rsidR="00E40D89" w:rsidRPr="002A50D4" w:rsidRDefault="00E40D89" w:rsidP="00E40D89"/>
        </w:tc>
      </w:tr>
    </w:tbl>
    <w:p w:rsidR="00B33955" w:rsidRDefault="00B33955" w:rsidP="00215A8D">
      <w:pPr>
        <w:spacing w:after="0" w:line="240" w:lineRule="auto"/>
        <w:jc w:val="both"/>
      </w:pPr>
    </w:p>
    <w:p w:rsidR="00215A8D" w:rsidRDefault="00215A8D" w:rsidP="00215A8D">
      <w:pPr>
        <w:spacing w:after="0" w:line="240" w:lineRule="auto"/>
        <w:jc w:val="both"/>
      </w:pPr>
      <w:r>
        <w:t xml:space="preserve">Questo elenco potrebbe in </w:t>
      </w:r>
      <w:r w:rsidRPr="00D94450">
        <w:rPr>
          <w:b/>
        </w:rPr>
        <w:t>futuro essere esteso a ulteriori specie</w:t>
      </w:r>
      <w:r>
        <w:t xml:space="preserve"> da parte dell’Organo Direttivo del Tra</w:t>
      </w:r>
      <w:r w:rsidR="000957B5">
        <w:t>ttat</w:t>
      </w:r>
      <w:r>
        <w:t>o</w:t>
      </w:r>
      <w:r w:rsidR="00EC0926">
        <w:t xml:space="preserve"> FAO</w:t>
      </w:r>
      <w:r>
        <w:t xml:space="preserve"> e comunque</w:t>
      </w:r>
      <w:r w:rsidR="00D94450">
        <w:t xml:space="preserve">, </w:t>
      </w:r>
      <w:r>
        <w:t xml:space="preserve"> </w:t>
      </w:r>
      <w:r w:rsidRPr="00D94450">
        <w:rPr>
          <w:b/>
        </w:rPr>
        <w:t>il Trattato stesso non pone alcune restrizioni ai Paesi circa l’utilizzo dell’sMTA per lo scambio di RGVAA non incuse nell’Annex I.</w:t>
      </w:r>
      <w:r>
        <w:t xml:space="preserve"> Infatti, alcuni Paesi quali l’Olanda e la Germania, hanno </w:t>
      </w:r>
      <w:r w:rsidR="0072742A" w:rsidRPr="00E40D89">
        <w:lastRenderedPageBreak/>
        <w:t xml:space="preserve">già  disposto </w:t>
      </w:r>
      <w:r>
        <w:t xml:space="preserve">per </w:t>
      </w:r>
      <w:r w:rsidR="0072742A">
        <w:t xml:space="preserve">una </w:t>
      </w:r>
      <w:r>
        <w:t>semplificazione delle procedure, di scambiare tutte le RGVAA</w:t>
      </w:r>
      <w:r w:rsidR="00D94450">
        <w:t>,</w:t>
      </w:r>
      <w:r>
        <w:t xml:space="preserve"> sotto il loro controllo</w:t>
      </w:r>
      <w:r w:rsidR="00D94450">
        <w:t>,</w:t>
      </w:r>
      <w:r>
        <w:t xml:space="preserve"> applicando le condizioni dell’sMTA.  </w:t>
      </w:r>
    </w:p>
    <w:p w:rsidR="00006FE4" w:rsidRDefault="00006FE4" w:rsidP="00215A8D">
      <w:pPr>
        <w:spacing w:after="0" w:line="240" w:lineRule="auto"/>
        <w:jc w:val="both"/>
      </w:pPr>
    </w:p>
    <w:p w:rsidR="00006FE4" w:rsidRPr="00804266" w:rsidRDefault="00006FE4" w:rsidP="00804266">
      <w:pPr>
        <w:pStyle w:val="Paragrafoelenco"/>
        <w:numPr>
          <w:ilvl w:val="0"/>
          <w:numId w:val="1"/>
        </w:numPr>
        <w:spacing w:after="0" w:line="240" w:lineRule="auto"/>
        <w:jc w:val="both"/>
        <w:rPr>
          <w:b/>
        </w:rPr>
      </w:pPr>
      <w:r w:rsidRPr="00804266">
        <w:rPr>
          <w:b/>
        </w:rPr>
        <w:t xml:space="preserve">Confronto </w:t>
      </w:r>
      <w:r w:rsidR="00C369C5">
        <w:rPr>
          <w:b/>
        </w:rPr>
        <w:t xml:space="preserve">delle </w:t>
      </w:r>
      <w:r w:rsidRPr="00804266">
        <w:rPr>
          <w:b/>
        </w:rPr>
        <w:t>modalità di scambio e implicazioni legali e amministrative</w:t>
      </w:r>
    </w:p>
    <w:p w:rsidR="000957B5" w:rsidRDefault="000957B5" w:rsidP="00215A8D">
      <w:pPr>
        <w:spacing w:after="0" w:line="240" w:lineRule="auto"/>
        <w:jc w:val="both"/>
      </w:pPr>
    </w:p>
    <w:p w:rsidR="000957B5" w:rsidRDefault="000957B5" w:rsidP="00215A8D">
      <w:pPr>
        <w:spacing w:after="0" w:line="240" w:lineRule="auto"/>
        <w:jc w:val="both"/>
      </w:pPr>
      <w:r>
        <w:t>Sebbene s</w:t>
      </w:r>
      <w:r w:rsidR="0072742A">
        <w:t>i</w:t>
      </w:r>
      <w:r>
        <w:t>a il Protocollo di Nagoya sia il Trattato Internazionale</w:t>
      </w:r>
      <w:r w:rsidR="00EC0926">
        <w:t xml:space="preserve"> FAO</w:t>
      </w:r>
      <w:r>
        <w:t xml:space="preserve"> </w:t>
      </w:r>
      <w:r w:rsidR="0072742A">
        <w:t>abbiano</w:t>
      </w:r>
      <w:r>
        <w:t xml:space="preserve"> come scopo l’utilizzo delle risorse genetiche ai fini del benessere umano e la condivisione giusta ed equa dei benefici derivanti da questo utilizzo, le modalità che regolamentano </w:t>
      </w:r>
      <w:r w:rsidR="00D94450">
        <w:t>queste attività sono ben distinte</w:t>
      </w:r>
      <w:r>
        <w:t xml:space="preserve">, con </w:t>
      </w:r>
      <w:r w:rsidR="00AE2164">
        <w:t>differenze nelle Autorità Responsabili</w:t>
      </w:r>
      <w:r w:rsidR="00FB4D05">
        <w:t>,</w:t>
      </w:r>
      <w:r w:rsidR="00AE2164">
        <w:t xml:space="preserve"> nelle </w:t>
      </w:r>
      <w:r w:rsidR="00FB4D05">
        <w:t xml:space="preserve"> procedure,</w:t>
      </w:r>
      <w:r w:rsidR="00AE2164">
        <w:t xml:space="preserve"> negli </w:t>
      </w:r>
      <w:r w:rsidR="00FB4D05">
        <w:t xml:space="preserve"> </w:t>
      </w:r>
      <w:r>
        <w:t>o</w:t>
      </w:r>
      <w:r w:rsidR="00AE2164">
        <w:t xml:space="preserve">bblighi e nelle </w:t>
      </w:r>
      <w:r w:rsidR="00FB4D05">
        <w:t>sanzioni</w:t>
      </w:r>
      <w:r w:rsidR="00E779C8">
        <w:t xml:space="preserve"> (v. tabella 2).</w:t>
      </w:r>
    </w:p>
    <w:p w:rsidR="00E40D89" w:rsidRDefault="00E40D89" w:rsidP="00215A8D">
      <w:pPr>
        <w:spacing w:after="0" w:line="240" w:lineRule="auto"/>
        <w:jc w:val="both"/>
      </w:pPr>
    </w:p>
    <w:tbl>
      <w:tblPr>
        <w:tblStyle w:val="Grigliatabella1"/>
        <w:tblW w:w="0" w:type="auto"/>
        <w:tblLook w:val="04A0" w:firstRow="1" w:lastRow="0" w:firstColumn="1" w:lastColumn="0" w:noHBand="0" w:noVBand="1"/>
      </w:tblPr>
      <w:tblGrid>
        <w:gridCol w:w="1384"/>
        <w:gridCol w:w="3948"/>
        <w:gridCol w:w="3948"/>
      </w:tblGrid>
      <w:tr w:rsidR="00BF6595" w:rsidRPr="00E779C8" w:rsidTr="005245D1">
        <w:tc>
          <w:tcPr>
            <w:tcW w:w="9280" w:type="dxa"/>
            <w:gridSpan w:val="3"/>
            <w:tcBorders>
              <w:top w:val="nil"/>
              <w:left w:val="nil"/>
              <w:bottom w:val="single" w:sz="4" w:space="0" w:color="auto"/>
              <w:right w:val="nil"/>
            </w:tcBorders>
          </w:tcPr>
          <w:p w:rsidR="00BF6595" w:rsidRPr="00E779C8" w:rsidRDefault="00BF6595" w:rsidP="005245D1">
            <w:pPr>
              <w:rPr>
                <w:rFonts w:asciiTheme="minorHAnsi" w:hAnsiTheme="minorHAnsi"/>
                <w:b/>
                <w:sz w:val="22"/>
                <w:szCs w:val="22"/>
                <w:lang w:val="it-IT"/>
              </w:rPr>
            </w:pPr>
            <w:r w:rsidRPr="00E779C8">
              <w:rPr>
                <w:rFonts w:asciiTheme="minorHAnsi" w:hAnsiTheme="minorHAnsi"/>
                <w:b/>
                <w:sz w:val="22"/>
                <w:szCs w:val="22"/>
                <w:lang w:val="it-IT"/>
              </w:rPr>
              <w:t xml:space="preserve">Tab. 2: Confronto dei principali elementi </w:t>
            </w:r>
            <w:r>
              <w:rPr>
                <w:rFonts w:asciiTheme="minorHAnsi" w:hAnsiTheme="minorHAnsi"/>
                <w:b/>
                <w:sz w:val="22"/>
                <w:szCs w:val="22"/>
                <w:lang w:val="it-IT"/>
              </w:rPr>
              <w:t>del T</w:t>
            </w:r>
            <w:r w:rsidRPr="00E779C8">
              <w:rPr>
                <w:rFonts w:asciiTheme="minorHAnsi" w:hAnsiTheme="minorHAnsi"/>
                <w:b/>
                <w:sz w:val="22"/>
                <w:szCs w:val="22"/>
                <w:lang w:val="it-IT"/>
              </w:rPr>
              <w:t>rattato FAO e del Protocollo di Nagoya</w:t>
            </w:r>
          </w:p>
        </w:tc>
      </w:tr>
      <w:tr w:rsidR="00BF6595" w:rsidRPr="00E779C8" w:rsidTr="005245D1">
        <w:tc>
          <w:tcPr>
            <w:tcW w:w="1384" w:type="dxa"/>
            <w:tcBorders>
              <w:top w:val="single" w:sz="4" w:space="0" w:color="auto"/>
              <w:left w:val="single" w:sz="4" w:space="0" w:color="auto"/>
              <w:bottom w:val="single" w:sz="4" w:space="0" w:color="auto"/>
              <w:right w:val="nil"/>
            </w:tcBorders>
            <w:shd w:val="clear" w:color="auto" w:fill="BFBFBF" w:themeFill="background1" w:themeFillShade="BF"/>
          </w:tcPr>
          <w:p w:rsidR="00BF6595" w:rsidRPr="00E779C8" w:rsidRDefault="00BF6595" w:rsidP="005245D1">
            <w:pPr>
              <w:jc w:val="center"/>
              <w:rPr>
                <w:rFonts w:asciiTheme="minorHAnsi" w:hAnsiTheme="minorHAnsi"/>
                <w:b/>
                <w:sz w:val="22"/>
                <w:szCs w:val="22"/>
                <w:lang w:val="it-IT"/>
              </w:rPr>
            </w:pPr>
          </w:p>
        </w:tc>
        <w:tc>
          <w:tcPr>
            <w:tcW w:w="3948" w:type="dxa"/>
            <w:tcBorders>
              <w:top w:val="single" w:sz="4" w:space="0" w:color="auto"/>
              <w:left w:val="nil"/>
              <w:bottom w:val="single" w:sz="4" w:space="0" w:color="auto"/>
              <w:right w:val="nil"/>
            </w:tcBorders>
            <w:shd w:val="clear" w:color="auto" w:fill="BFBFBF" w:themeFill="background1" w:themeFillShade="BF"/>
          </w:tcPr>
          <w:p w:rsidR="00BF6595" w:rsidRPr="00E779C8" w:rsidRDefault="00BF6595" w:rsidP="005245D1">
            <w:pPr>
              <w:jc w:val="center"/>
              <w:rPr>
                <w:rFonts w:asciiTheme="minorHAnsi" w:hAnsiTheme="minorHAnsi"/>
                <w:b/>
                <w:sz w:val="22"/>
                <w:szCs w:val="22"/>
              </w:rPr>
            </w:pPr>
            <w:r w:rsidRPr="00E779C8">
              <w:rPr>
                <w:rFonts w:asciiTheme="minorHAnsi" w:hAnsiTheme="minorHAnsi"/>
                <w:b/>
                <w:sz w:val="22"/>
                <w:szCs w:val="22"/>
              </w:rPr>
              <w:t>Protocollo di Nagoya</w:t>
            </w:r>
          </w:p>
        </w:tc>
        <w:tc>
          <w:tcPr>
            <w:tcW w:w="3948" w:type="dxa"/>
            <w:tcBorders>
              <w:top w:val="single" w:sz="4" w:space="0" w:color="auto"/>
              <w:left w:val="nil"/>
              <w:bottom w:val="single" w:sz="4" w:space="0" w:color="auto"/>
              <w:right w:val="single" w:sz="4" w:space="0" w:color="auto"/>
            </w:tcBorders>
            <w:shd w:val="clear" w:color="auto" w:fill="BFBFBF" w:themeFill="background1" w:themeFillShade="BF"/>
          </w:tcPr>
          <w:p w:rsidR="00BF6595" w:rsidRPr="00E779C8" w:rsidRDefault="00BF6595" w:rsidP="005245D1">
            <w:pPr>
              <w:jc w:val="center"/>
              <w:rPr>
                <w:rFonts w:asciiTheme="minorHAnsi" w:hAnsiTheme="minorHAnsi"/>
                <w:b/>
                <w:sz w:val="22"/>
                <w:szCs w:val="22"/>
              </w:rPr>
            </w:pPr>
            <w:r w:rsidRPr="00E779C8">
              <w:rPr>
                <w:rFonts w:asciiTheme="minorHAnsi" w:hAnsiTheme="minorHAnsi"/>
                <w:b/>
                <w:sz w:val="22"/>
                <w:szCs w:val="22"/>
              </w:rPr>
              <w:t>Trattato</w:t>
            </w:r>
          </w:p>
        </w:tc>
      </w:tr>
      <w:tr w:rsidR="00BF6595" w:rsidRPr="00E779C8" w:rsidTr="005245D1">
        <w:tc>
          <w:tcPr>
            <w:tcW w:w="1384" w:type="dxa"/>
            <w:tcBorders>
              <w:bottom w:val="single" w:sz="4" w:space="0" w:color="auto"/>
              <w:right w:val="nil"/>
            </w:tcBorders>
          </w:tcPr>
          <w:p w:rsidR="00BF6595" w:rsidRPr="00AD4534" w:rsidRDefault="00BF6595" w:rsidP="005245D1">
            <w:pPr>
              <w:rPr>
                <w:b/>
                <w:lang w:val="it-IT"/>
              </w:rPr>
            </w:pPr>
            <w:r>
              <w:rPr>
                <w:rFonts w:asciiTheme="minorHAnsi" w:hAnsiTheme="minorHAnsi"/>
                <w:b/>
                <w:sz w:val="22"/>
                <w:szCs w:val="22"/>
                <w:lang w:val="it-IT"/>
              </w:rPr>
              <w:t>n. Paesi Membri</w:t>
            </w:r>
          </w:p>
        </w:tc>
        <w:tc>
          <w:tcPr>
            <w:tcW w:w="3948" w:type="dxa"/>
            <w:tcBorders>
              <w:left w:val="nil"/>
              <w:bottom w:val="single" w:sz="4" w:space="0" w:color="auto"/>
              <w:right w:val="nil"/>
            </w:tcBorders>
          </w:tcPr>
          <w:p w:rsidR="00BF6595" w:rsidRPr="00AD4534" w:rsidRDefault="00BF6595" w:rsidP="005245D1">
            <w:pPr>
              <w:rPr>
                <w:rFonts w:asciiTheme="minorHAnsi" w:hAnsiTheme="minorHAnsi"/>
                <w:sz w:val="22"/>
                <w:szCs w:val="22"/>
                <w:lang w:val="it-IT"/>
              </w:rPr>
            </w:pPr>
            <w:r>
              <w:rPr>
                <w:rFonts w:asciiTheme="minorHAnsi" w:hAnsiTheme="minorHAnsi"/>
                <w:sz w:val="22"/>
                <w:szCs w:val="22"/>
                <w:lang w:val="it-IT"/>
              </w:rPr>
              <w:t>65</w:t>
            </w:r>
          </w:p>
        </w:tc>
        <w:tc>
          <w:tcPr>
            <w:tcW w:w="3948" w:type="dxa"/>
            <w:tcBorders>
              <w:left w:val="nil"/>
              <w:bottom w:val="single" w:sz="4" w:space="0" w:color="auto"/>
            </w:tcBorders>
          </w:tcPr>
          <w:p w:rsidR="00BF6595" w:rsidRPr="00AD4534" w:rsidRDefault="00BF6595" w:rsidP="005245D1">
            <w:pPr>
              <w:rPr>
                <w:rFonts w:asciiTheme="minorHAnsi" w:hAnsiTheme="minorHAnsi"/>
                <w:sz w:val="22"/>
                <w:szCs w:val="22"/>
                <w:lang w:val="it-IT"/>
              </w:rPr>
            </w:pPr>
            <w:r>
              <w:rPr>
                <w:rFonts w:asciiTheme="minorHAnsi" w:hAnsiTheme="minorHAnsi"/>
                <w:sz w:val="22"/>
                <w:szCs w:val="22"/>
                <w:lang w:val="it-IT"/>
              </w:rPr>
              <w:t>136</w:t>
            </w:r>
          </w:p>
        </w:tc>
      </w:tr>
      <w:tr w:rsidR="00BF6595" w:rsidRPr="00E779C8" w:rsidTr="005245D1">
        <w:tc>
          <w:tcPr>
            <w:tcW w:w="1384" w:type="dxa"/>
            <w:tcBorders>
              <w:bottom w:val="single" w:sz="4" w:space="0" w:color="auto"/>
              <w:right w:val="nil"/>
            </w:tcBorders>
          </w:tcPr>
          <w:p w:rsidR="00BF6595" w:rsidRPr="00AD4534" w:rsidRDefault="00BF6595" w:rsidP="005245D1">
            <w:pPr>
              <w:rPr>
                <w:rFonts w:asciiTheme="minorHAnsi" w:hAnsiTheme="minorHAnsi"/>
                <w:b/>
                <w:sz w:val="22"/>
                <w:szCs w:val="22"/>
                <w:lang w:val="it-IT"/>
              </w:rPr>
            </w:pPr>
            <w:r w:rsidRPr="00AD4534">
              <w:rPr>
                <w:rFonts w:asciiTheme="minorHAnsi" w:hAnsiTheme="minorHAnsi"/>
                <w:b/>
                <w:sz w:val="22"/>
                <w:szCs w:val="22"/>
                <w:lang w:val="it-IT"/>
              </w:rPr>
              <w:t>Competenza</w:t>
            </w:r>
          </w:p>
        </w:tc>
        <w:tc>
          <w:tcPr>
            <w:tcW w:w="3948" w:type="dxa"/>
            <w:tcBorders>
              <w:left w:val="nil"/>
              <w:bottom w:val="single" w:sz="4" w:space="0" w:color="auto"/>
              <w:right w:val="nil"/>
            </w:tcBorders>
          </w:tcPr>
          <w:p w:rsidR="00BF6595" w:rsidRPr="00AD4534" w:rsidRDefault="00BF6595" w:rsidP="005245D1">
            <w:pPr>
              <w:rPr>
                <w:rFonts w:asciiTheme="minorHAnsi" w:hAnsiTheme="minorHAnsi"/>
                <w:sz w:val="22"/>
                <w:szCs w:val="22"/>
                <w:lang w:val="it-IT"/>
              </w:rPr>
            </w:pPr>
            <w:r w:rsidRPr="00AD4534">
              <w:rPr>
                <w:rFonts w:asciiTheme="minorHAnsi" w:hAnsiTheme="minorHAnsi"/>
                <w:sz w:val="22"/>
                <w:szCs w:val="22"/>
                <w:lang w:val="it-IT"/>
              </w:rPr>
              <w:t>Settore ambientale</w:t>
            </w:r>
          </w:p>
        </w:tc>
        <w:tc>
          <w:tcPr>
            <w:tcW w:w="3948" w:type="dxa"/>
            <w:tcBorders>
              <w:left w:val="nil"/>
              <w:bottom w:val="single" w:sz="4" w:space="0" w:color="auto"/>
            </w:tcBorders>
          </w:tcPr>
          <w:p w:rsidR="00BF6595" w:rsidRPr="00AD4534" w:rsidRDefault="00BF6595" w:rsidP="005245D1">
            <w:pPr>
              <w:rPr>
                <w:rFonts w:asciiTheme="minorHAnsi" w:hAnsiTheme="minorHAnsi"/>
                <w:sz w:val="22"/>
                <w:szCs w:val="22"/>
                <w:lang w:val="it-IT"/>
              </w:rPr>
            </w:pPr>
            <w:r w:rsidRPr="00AD4534">
              <w:rPr>
                <w:rFonts w:asciiTheme="minorHAnsi" w:hAnsiTheme="minorHAnsi"/>
                <w:sz w:val="22"/>
                <w:szCs w:val="22"/>
                <w:lang w:val="it-IT"/>
              </w:rPr>
              <w:t>Settore agricolo</w:t>
            </w:r>
          </w:p>
        </w:tc>
      </w:tr>
      <w:tr w:rsidR="00BF6595" w:rsidRPr="00E779C8" w:rsidTr="005245D1">
        <w:tc>
          <w:tcPr>
            <w:tcW w:w="1384" w:type="dxa"/>
            <w:tcBorders>
              <w:bottom w:val="single" w:sz="4" w:space="0" w:color="auto"/>
              <w:right w:val="nil"/>
            </w:tcBorders>
          </w:tcPr>
          <w:p w:rsidR="00BF6595" w:rsidRPr="00AD4534" w:rsidRDefault="00BF6595" w:rsidP="005245D1">
            <w:pPr>
              <w:rPr>
                <w:rFonts w:asciiTheme="minorHAnsi" w:hAnsiTheme="minorHAnsi"/>
                <w:b/>
                <w:sz w:val="22"/>
                <w:szCs w:val="22"/>
                <w:lang w:val="it-IT"/>
              </w:rPr>
            </w:pPr>
            <w:r w:rsidRPr="00AD4534">
              <w:rPr>
                <w:rFonts w:asciiTheme="minorHAnsi" w:hAnsiTheme="minorHAnsi"/>
                <w:b/>
                <w:sz w:val="22"/>
                <w:szCs w:val="22"/>
                <w:lang w:val="it-IT"/>
              </w:rPr>
              <w:t xml:space="preserve">Destinatari </w:t>
            </w:r>
          </w:p>
        </w:tc>
        <w:tc>
          <w:tcPr>
            <w:tcW w:w="3948" w:type="dxa"/>
            <w:tcBorders>
              <w:left w:val="nil"/>
              <w:bottom w:val="single" w:sz="4" w:space="0" w:color="auto"/>
              <w:right w:val="nil"/>
            </w:tcBorders>
          </w:tcPr>
          <w:p w:rsidR="00BF6595" w:rsidRPr="00E779C8" w:rsidRDefault="00BF6595" w:rsidP="005245D1">
            <w:pPr>
              <w:rPr>
                <w:rFonts w:asciiTheme="minorHAnsi" w:hAnsiTheme="minorHAnsi"/>
                <w:sz w:val="22"/>
                <w:szCs w:val="22"/>
                <w:lang w:val="it-IT"/>
              </w:rPr>
            </w:pPr>
            <w:r>
              <w:rPr>
                <w:rFonts w:asciiTheme="minorHAnsi" w:hAnsiTheme="minorHAnsi"/>
                <w:sz w:val="22"/>
                <w:szCs w:val="22"/>
                <w:lang w:val="it-IT"/>
              </w:rPr>
              <w:t>Settore ambientale e agro-alimentare;</w:t>
            </w:r>
            <w:r w:rsidRPr="00E779C8">
              <w:rPr>
                <w:rFonts w:asciiTheme="minorHAnsi" w:hAnsiTheme="minorHAnsi"/>
                <w:sz w:val="22"/>
                <w:szCs w:val="22"/>
                <w:lang w:val="it-IT"/>
              </w:rPr>
              <w:t xml:space="preserve"> </w:t>
            </w:r>
            <w:r>
              <w:rPr>
                <w:rFonts w:asciiTheme="minorHAnsi" w:hAnsiTheme="minorHAnsi"/>
                <w:sz w:val="22"/>
                <w:szCs w:val="22"/>
                <w:lang w:val="it-IT"/>
              </w:rPr>
              <w:t xml:space="preserve">settore della ricerca, </w:t>
            </w:r>
            <w:r w:rsidRPr="00E779C8">
              <w:rPr>
                <w:rFonts w:asciiTheme="minorHAnsi" w:hAnsiTheme="minorHAnsi"/>
                <w:sz w:val="22"/>
                <w:szCs w:val="22"/>
                <w:lang w:val="it-IT"/>
              </w:rPr>
              <w:t>industrie farmaceutiche</w:t>
            </w:r>
            <w:r>
              <w:rPr>
                <w:rFonts w:asciiTheme="minorHAnsi" w:hAnsiTheme="minorHAnsi"/>
                <w:sz w:val="22"/>
                <w:szCs w:val="22"/>
                <w:lang w:val="it-IT"/>
              </w:rPr>
              <w:t xml:space="preserve">, cosmetiche </w:t>
            </w:r>
            <w:r w:rsidRPr="00E779C8">
              <w:rPr>
                <w:rFonts w:asciiTheme="minorHAnsi" w:hAnsiTheme="minorHAnsi"/>
                <w:sz w:val="22"/>
                <w:szCs w:val="22"/>
                <w:lang w:val="it-IT"/>
              </w:rPr>
              <w:t>e altre</w:t>
            </w:r>
          </w:p>
        </w:tc>
        <w:tc>
          <w:tcPr>
            <w:tcW w:w="3948" w:type="dxa"/>
            <w:tcBorders>
              <w:left w:val="nil"/>
              <w:bottom w:val="single" w:sz="4" w:space="0" w:color="auto"/>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Breeder; detentori di collezioni di germoplasma; agricoltori</w:t>
            </w:r>
          </w:p>
        </w:tc>
      </w:tr>
      <w:tr w:rsidR="00BF6595" w:rsidRPr="00E779C8" w:rsidTr="005245D1">
        <w:tc>
          <w:tcPr>
            <w:tcW w:w="1384" w:type="dxa"/>
            <w:tcBorders>
              <w:right w:val="nil"/>
            </w:tcBorders>
          </w:tcPr>
          <w:p w:rsidR="00BF6595" w:rsidRPr="00E779C8" w:rsidRDefault="00BF6595" w:rsidP="005245D1">
            <w:pPr>
              <w:rPr>
                <w:rFonts w:asciiTheme="minorHAnsi" w:hAnsiTheme="minorHAnsi"/>
                <w:b/>
                <w:sz w:val="22"/>
                <w:szCs w:val="22"/>
              </w:rPr>
            </w:pPr>
            <w:r w:rsidRPr="00E779C8">
              <w:rPr>
                <w:rFonts w:asciiTheme="minorHAnsi" w:hAnsiTheme="minorHAnsi"/>
                <w:b/>
                <w:sz w:val="22"/>
                <w:szCs w:val="22"/>
              </w:rPr>
              <w:t>Oggetto</w:t>
            </w:r>
          </w:p>
        </w:tc>
        <w:tc>
          <w:tcPr>
            <w:tcW w:w="3948" w:type="dxa"/>
            <w:tcBorders>
              <w:left w:val="nil"/>
              <w:righ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 xml:space="preserve">Tutta la biodiversità, ma in riconoscimento dell’esistenza </w:t>
            </w:r>
            <w:r>
              <w:rPr>
                <w:rFonts w:asciiTheme="minorHAnsi" w:hAnsiTheme="minorHAnsi"/>
                <w:sz w:val="22"/>
                <w:szCs w:val="22"/>
                <w:lang w:val="it-IT"/>
              </w:rPr>
              <w:t>di altri accordi internazionali che regolano l’accesso alle rg</w:t>
            </w:r>
            <w:r w:rsidRPr="00E779C8">
              <w:rPr>
                <w:rFonts w:asciiTheme="minorHAnsi" w:hAnsiTheme="minorHAnsi"/>
                <w:sz w:val="22"/>
                <w:szCs w:val="22"/>
                <w:lang w:val="it-IT"/>
              </w:rPr>
              <w:t>; le conoscenze tradizionali legate alle risorse genetiche</w:t>
            </w:r>
          </w:p>
        </w:tc>
        <w:tc>
          <w:tcPr>
            <w:tcW w:w="3948" w:type="dxa"/>
            <w:tcBorders>
              <w:lef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Risorse genetiche per l’alimentazione e l’ag</w:t>
            </w:r>
            <w:r>
              <w:rPr>
                <w:rFonts w:asciiTheme="minorHAnsi" w:hAnsiTheme="minorHAnsi"/>
                <w:sz w:val="22"/>
                <w:szCs w:val="22"/>
                <w:lang w:val="it-IT"/>
              </w:rPr>
              <w:t>r</w:t>
            </w:r>
            <w:r w:rsidRPr="00E779C8">
              <w:rPr>
                <w:rFonts w:asciiTheme="minorHAnsi" w:hAnsiTheme="minorHAnsi"/>
                <w:sz w:val="22"/>
                <w:szCs w:val="22"/>
                <w:lang w:val="it-IT"/>
              </w:rPr>
              <w:t>icoltura incluse le conosc</w:t>
            </w:r>
            <w:r>
              <w:rPr>
                <w:rFonts w:asciiTheme="minorHAnsi" w:hAnsiTheme="minorHAnsi"/>
                <w:sz w:val="22"/>
                <w:szCs w:val="22"/>
                <w:lang w:val="it-IT"/>
              </w:rPr>
              <w:t>enze tradizionali ad esse legate</w:t>
            </w:r>
          </w:p>
        </w:tc>
      </w:tr>
      <w:tr w:rsidR="00BF6595" w:rsidRPr="00E779C8" w:rsidTr="005245D1">
        <w:tc>
          <w:tcPr>
            <w:tcW w:w="1384" w:type="dxa"/>
            <w:tcBorders>
              <w:right w:val="nil"/>
            </w:tcBorders>
          </w:tcPr>
          <w:p w:rsidR="00BF6595" w:rsidRPr="00E779C8" w:rsidRDefault="00BF6595" w:rsidP="005245D1">
            <w:pPr>
              <w:rPr>
                <w:b/>
              </w:rPr>
            </w:pPr>
            <w:r w:rsidRPr="00AD4534">
              <w:rPr>
                <w:rFonts w:asciiTheme="minorHAnsi" w:hAnsiTheme="minorHAnsi"/>
                <w:b/>
                <w:sz w:val="22"/>
                <w:szCs w:val="22"/>
              </w:rPr>
              <w:t>Finalità</w:t>
            </w:r>
          </w:p>
        </w:tc>
        <w:tc>
          <w:tcPr>
            <w:tcW w:w="3948" w:type="dxa"/>
            <w:tcBorders>
              <w:left w:val="nil"/>
              <w:right w:val="nil"/>
            </w:tcBorders>
          </w:tcPr>
          <w:p w:rsidR="00BF6595" w:rsidRPr="00AD4534" w:rsidRDefault="00BF6595" w:rsidP="005245D1">
            <w:pPr>
              <w:rPr>
                <w:lang w:val="it-IT"/>
              </w:rPr>
            </w:pPr>
            <w:r w:rsidRPr="00575594">
              <w:rPr>
                <w:rFonts w:asciiTheme="minorHAnsi" w:hAnsiTheme="minorHAnsi"/>
                <w:sz w:val="22"/>
                <w:szCs w:val="22"/>
                <w:lang w:val="it-IT"/>
              </w:rPr>
              <w:t>Salvaguardia delle risorse genetiche e le conoscenze tradizionali ad esse legate</w:t>
            </w:r>
            <w:r>
              <w:rPr>
                <w:rFonts w:asciiTheme="minorHAnsi" w:hAnsiTheme="minorHAnsi"/>
                <w:sz w:val="22"/>
                <w:szCs w:val="22"/>
                <w:lang w:val="it-IT"/>
              </w:rPr>
              <w:t xml:space="preserve">, soprattutto </w:t>
            </w:r>
            <w:r w:rsidRPr="00575594">
              <w:rPr>
                <w:rFonts w:asciiTheme="minorHAnsi" w:hAnsiTheme="minorHAnsi"/>
                <w:sz w:val="22"/>
                <w:szCs w:val="22"/>
                <w:lang w:val="it-IT"/>
              </w:rPr>
              <w:t>dalla biopirateria</w:t>
            </w:r>
          </w:p>
        </w:tc>
        <w:tc>
          <w:tcPr>
            <w:tcW w:w="3948" w:type="dxa"/>
            <w:tcBorders>
              <w:left w:val="nil"/>
            </w:tcBorders>
          </w:tcPr>
          <w:p w:rsidR="00BF6595" w:rsidRPr="00AD4534" w:rsidRDefault="00BF6595" w:rsidP="005245D1">
            <w:pPr>
              <w:rPr>
                <w:lang w:val="it-IT"/>
              </w:rPr>
            </w:pPr>
            <w:r w:rsidRPr="00C65260">
              <w:rPr>
                <w:rFonts w:asciiTheme="minorHAnsi" w:hAnsiTheme="minorHAnsi"/>
                <w:sz w:val="22"/>
                <w:szCs w:val="22"/>
                <w:lang w:val="it-IT"/>
              </w:rPr>
              <w:t>Promozione della ricerca e del migliora</w:t>
            </w:r>
            <w:r>
              <w:rPr>
                <w:rFonts w:asciiTheme="minorHAnsi" w:hAnsiTheme="minorHAnsi"/>
                <w:sz w:val="22"/>
                <w:szCs w:val="22"/>
                <w:lang w:val="it-IT"/>
              </w:rPr>
              <w:t>-</w:t>
            </w:r>
            <w:r w:rsidRPr="00C65260">
              <w:rPr>
                <w:rFonts w:asciiTheme="minorHAnsi" w:hAnsiTheme="minorHAnsi"/>
                <w:sz w:val="22"/>
                <w:szCs w:val="22"/>
                <w:lang w:val="it-IT"/>
              </w:rPr>
              <w:t>mento per la sicurezza alimentare glo</w:t>
            </w:r>
            <w:r>
              <w:rPr>
                <w:rFonts w:asciiTheme="minorHAnsi" w:hAnsiTheme="minorHAnsi"/>
                <w:sz w:val="22"/>
                <w:szCs w:val="22"/>
                <w:lang w:val="it-IT"/>
              </w:rPr>
              <w:t>-</w:t>
            </w:r>
            <w:r w:rsidRPr="00C65260">
              <w:rPr>
                <w:rFonts w:asciiTheme="minorHAnsi" w:hAnsiTheme="minorHAnsi"/>
                <w:sz w:val="22"/>
                <w:szCs w:val="22"/>
                <w:lang w:val="it-IT"/>
              </w:rPr>
              <w:t>bale, dello sviluppo sostenibile della pro</w:t>
            </w:r>
            <w:r>
              <w:rPr>
                <w:rFonts w:asciiTheme="minorHAnsi" w:hAnsiTheme="minorHAnsi"/>
                <w:sz w:val="22"/>
                <w:szCs w:val="22"/>
                <w:lang w:val="it-IT"/>
              </w:rPr>
              <w:t>-</w:t>
            </w:r>
            <w:r w:rsidRPr="00C65260">
              <w:rPr>
                <w:rFonts w:asciiTheme="minorHAnsi" w:hAnsiTheme="minorHAnsi"/>
                <w:sz w:val="22"/>
                <w:szCs w:val="22"/>
                <w:lang w:val="it-IT"/>
              </w:rPr>
              <w:t>duzione agro-alimentare, anche in vista di nuove risposte agli effetti negativi sugli agro-ecosistemi causati da</w:t>
            </w:r>
            <w:r>
              <w:rPr>
                <w:rFonts w:asciiTheme="minorHAnsi" w:hAnsiTheme="minorHAnsi"/>
                <w:sz w:val="22"/>
                <w:szCs w:val="22"/>
                <w:lang w:val="it-IT"/>
              </w:rPr>
              <w:t>l cambio cli</w:t>
            </w:r>
            <w:r w:rsidRPr="00C65260">
              <w:rPr>
                <w:rFonts w:asciiTheme="minorHAnsi" w:hAnsiTheme="minorHAnsi"/>
                <w:sz w:val="22"/>
                <w:szCs w:val="22"/>
                <w:lang w:val="it-IT"/>
              </w:rPr>
              <w:t>matico</w:t>
            </w:r>
            <w:r>
              <w:rPr>
                <w:lang w:val="it-IT"/>
              </w:rPr>
              <w:t xml:space="preserve"> </w:t>
            </w:r>
          </w:p>
        </w:tc>
      </w:tr>
      <w:tr w:rsidR="00BF6595" w:rsidRPr="00E779C8" w:rsidTr="005245D1">
        <w:tc>
          <w:tcPr>
            <w:tcW w:w="1384" w:type="dxa"/>
            <w:tcBorders>
              <w:right w:val="nil"/>
            </w:tcBorders>
          </w:tcPr>
          <w:p w:rsidR="00BF6595" w:rsidRPr="00E779C8" w:rsidRDefault="00BF6595" w:rsidP="005245D1">
            <w:pPr>
              <w:rPr>
                <w:rFonts w:asciiTheme="minorHAnsi" w:hAnsiTheme="minorHAnsi"/>
                <w:b/>
                <w:sz w:val="22"/>
                <w:szCs w:val="22"/>
              </w:rPr>
            </w:pPr>
            <w:r w:rsidRPr="00E779C8">
              <w:rPr>
                <w:rFonts w:asciiTheme="minorHAnsi" w:hAnsiTheme="minorHAnsi"/>
                <w:b/>
                <w:sz w:val="22"/>
                <w:szCs w:val="22"/>
              </w:rPr>
              <w:t>Materiale incluso</w:t>
            </w:r>
          </w:p>
        </w:tc>
        <w:tc>
          <w:tcPr>
            <w:tcW w:w="3948" w:type="dxa"/>
            <w:tcBorders>
              <w:left w:val="nil"/>
              <w:righ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Potenzialmente tutte le risorse gen</w:t>
            </w:r>
            <w:r>
              <w:rPr>
                <w:rFonts w:asciiTheme="minorHAnsi" w:hAnsiTheme="minorHAnsi"/>
                <w:sz w:val="22"/>
                <w:szCs w:val="22"/>
                <w:lang w:val="it-IT"/>
              </w:rPr>
              <w:t>e</w:t>
            </w:r>
            <w:r w:rsidRPr="00E779C8">
              <w:rPr>
                <w:rFonts w:asciiTheme="minorHAnsi" w:hAnsiTheme="minorHAnsi"/>
                <w:sz w:val="22"/>
                <w:szCs w:val="22"/>
                <w:lang w:val="it-IT"/>
              </w:rPr>
              <w:t>tiche (tranne quelle umane) presenti in un territorio nazionale</w:t>
            </w:r>
          </w:p>
        </w:tc>
        <w:tc>
          <w:tcPr>
            <w:tcW w:w="3948" w:type="dxa"/>
            <w:tcBorders>
              <w:lef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Specie incluse nell’Annex I; in generale, le risorse genetiche vegetali sotto il control</w:t>
            </w:r>
            <w:r>
              <w:rPr>
                <w:rFonts w:asciiTheme="minorHAnsi" w:hAnsiTheme="minorHAnsi"/>
                <w:sz w:val="22"/>
                <w:szCs w:val="22"/>
                <w:lang w:val="it-IT"/>
              </w:rPr>
              <w:t>-</w:t>
            </w:r>
            <w:r w:rsidRPr="00E779C8">
              <w:rPr>
                <w:rFonts w:asciiTheme="minorHAnsi" w:hAnsiTheme="minorHAnsi"/>
                <w:sz w:val="22"/>
                <w:szCs w:val="22"/>
                <w:lang w:val="it-IT"/>
              </w:rPr>
              <w:t>lo e la gestione delle Parti Contraenti e disp</w:t>
            </w:r>
            <w:r>
              <w:rPr>
                <w:rFonts w:asciiTheme="minorHAnsi" w:hAnsiTheme="minorHAnsi"/>
                <w:sz w:val="22"/>
                <w:szCs w:val="22"/>
                <w:lang w:val="it-IT"/>
              </w:rPr>
              <w:t>o</w:t>
            </w:r>
            <w:r w:rsidRPr="00E779C8">
              <w:rPr>
                <w:rFonts w:asciiTheme="minorHAnsi" w:hAnsiTheme="minorHAnsi"/>
                <w:sz w:val="22"/>
                <w:szCs w:val="22"/>
                <w:lang w:val="it-IT"/>
              </w:rPr>
              <w:t>nibili nel dominio pubblico</w:t>
            </w:r>
          </w:p>
        </w:tc>
      </w:tr>
      <w:tr w:rsidR="00BF6595" w:rsidRPr="00E779C8" w:rsidTr="005245D1">
        <w:tc>
          <w:tcPr>
            <w:tcW w:w="1384" w:type="dxa"/>
            <w:tcBorders>
              <w:right w:val="nil"/>
            </w:tcBorders>
          </w:tcPr>
          <w:p w:rsidR="00BF6595" w:rsidRPr="00E779C8" w:rsidRDefault="00BF6595" w:rsidP="005245D1">
            <w:pPr>
              <w:rPr>
                <w:rFonts w:asciiTheme="minorHAnsi" w:hAnsiTheme="minorHAnsi"/>
                <w:b/>
                <w:sz w:val="22"/>
                <w:szCs w:val="22"/>
              </w:rPr>
            </w:pPr>
            <w:r w:rsidRPr="00E779C8">
              <w:rPr>
                <w:rFonts w:asciiTheme="minorHAnsi" w:hAnsiTheme="minorHAnsi"/>
                <w:b/>
                <w:sz w:val="22"/>
                <w:szCs w:val="22"/>
              </w:rPr>
              <w:t>Strumenti di accesso</w:t>
            </w:r>
          </w:p>
        </w:tc>
        <w:tc>
          <w:tcPr>
            <w:tcW w:w="3948" w:type="dxa"/>
            <w:tcBorders>
              <w:left w:val="nil"/>
              <w:righ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 xml:space="preserve">Una serie di permessi, condizioni di utilizzo e scambio dei benefici, documentazione e sanzioni, negoziati individualmente per ogni scambio di </w:t>
            </w:r>
            <w:r w:rsidRPr="00876AFF">
              <w:rPr>
                <w:rFonts w:asciiTheme="minorHAnsi" w:hAnsiTheme="minorHAnsi"/>
                <w:sz w:val="22"/>
                <w:szCs w:val="22"/>
                <w:lang w:val="it-IT"/>
              </w:rPr>
              <w:t>materiale (carattere bilaterale)</w:t>
            </w:r>
          </w:p>
        </w:tc>
        <w:tc>
          <w:tcPr>
            <w:tcW w:w="3948" w:type="dxa"/>
            <w:tcBorders>
              <w:lef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Material Transfer Agreement standardizzato (sMTA), tra donatore e ricevente</w:t>
            </w:r>
            <w:r>
              <w:rPr>
                <w:rFonts w:asciiTheme="minorHAnsi" w:hAnsiTheme="minorHAnsi"/>
                <w:sz w:val="22"/>
                <w:szCs w:val="22"/>
                <w:lang w:val="it-IT"/>
              </w:rPr>
              <w:t xml:space="preserve"> </w:t>
            </w:r>
            <w:r w:rsidRPr="00876AFF">
              <w:rPr>
                <w:rFonts w:asciiTheme="minorHAnsi" w:hAnsiTheme="minorHAnsi"/>
                <w:sz w:val="22"/>
                <w:szCs w:val="22"/>
                <w:lang w:val="it-IT"/>
              </w:rPr>
              <w:t>(carattere multilaterale)</w:t>
            </w:r>
          </w:p>
        </w:tc>
      </w:tr>
      <w:tr w:rsidR="00BF6595" w:rsidRPr="00E779C8" w:rsidTr="005245D1">
        <w:tc>
          <w:tcPr>
            <w:tcW w:w="1384" w:type="dxa"/>
            <w:tcBorders>
              <w:right w:val="nil"/>
            </w:tcBorders>
          </w:tcPr>
          <w:p w:rsidR="00BF6595" w:rsidRPr="00E779C8" w:rsidRDefault="00BF6595" w:rsidP="005245D1">
            <w:pPr>
              <w:rPr>
                <w:b/>
              </w:rPr>
            </w:pPr>
            <w:r w:rsidRPr="00AD4534">
              <w:rPr>
                <w:rFonts w:asciiTheme="minorHAnsi" w:hAnsiTheme="minorHAnsi"/>
                <w:b/>
                <w:sz w:val="22"/>
                <w:szCs w:val="22"/>
              </w:rPr>
              <w:t>Tempi richiesti</w:t>
            </w:r>
          </w:p>
        </w:tc>
        <w:tc>
          <w:tcPr>
            <w:tcW w:w="3948" w:type="dxa"/>
            <w:tcBorders>
              <w:left w:val="nil"/>
              <w:right w:val="nil"/>
            </w:tcBorders>
          </w:tcPr>
          <w:p w:rsidR="00BF6595" w:rsidRPr="00AD4534" w:rsidRDefault="00BF6595" w:rsidP="005245D1">
            <w:pPr>
              <w:rPr>
                <w:lang w:val="it-IT"/>
              </w:rPr>
            </w:pPr>
            <w:r w:rsidRPr="00A67F6A">
              <w:rPr>
                <w:rFonts w:asciiTheme="minorHAnsi" w:hAnsiTheme="minorHAnsi"/>
                <w:sz w:val="22"/>
                <w:szCs w:val="22"/>
                <w:lang w:val="it-IT"/>
              </w:rPr>
              <w:t>anche mesi,</w:t>
            </w:r>
            <w:r w:rsidRPr="009B3BBD">
              <w:rPr>
                <w:rFonts w:asciiTheme="minorHAnsi" w:hAnsiTheme="minorHAnsi"/>
                <w:sz w:val="22"/>
                <w:szCs w:val="22"/>
                <w:lang w:val="it-IT"/>
              </w:rPr>
              <w:t xml:space="preserve"> dalla prima domanda fino al permesso finale di accesso</w:t>
            </w:r>
          </w:p>
        </w:tc>
        <w:tc>
          <w:tcPr>
            <w:tcW w:w="3948" w:type="dxa"/>
            <w:tcBorders>
              <w:left w:val="nil"/>
            </w:tcBorders>
          </w:tcPr>
          <w:p w:rsidR="00BF6595" w:rsidRPr="00AD4534" w:rsidRDefault="00BF6595" w:rsidP="005245D1">
            <w:pPr>
              <w:rPr>
                <w:lang w:val="it-IT"/>
              </w:rPr>
            </w:pPr>
            <w:r>
              <w:rPr>
                <w:rFonts w:asciiTheme="minorHAnsi" w:hAnsiTheme="minorHAnsi"/>
                <w:sz w:val="22"/>
                <w:szCs w:val="22"/>
                <w:lang w:val="it-IT"/>
              </w:rPr>
              <w:t>I</w:t>
            </w:r>
            <w:r w:rsidRPr="00AD4534">
              <w:rPr>
                <w:rFonts w:asciiTheme="minorHAnsi" w:hAnsiTheme="minorHAnsi"/>
                <w:sz w:val="22"/>
                <w:szCs w:val="22"/>
                <w:lang w:val="it-IT"/>
              </w:rPr>
              <w:t>l tempo necessario per compilare l’sMTA e i tempi di spedizione del materiale</w:t>
            </w:r>
          </w:p>
        </w:tc>
      </w:tr>
      <w:tr w:rsidR="00BF6595" w:rsidRPr="00E779C8" w:rsidTr="005245D1">
        <w:tc>
          <w:tcPr>
            <w:tcW w:w="1384" w:type="dxa"/>
            <w:tcBorders>
              <w:right w:val="nil"/>
            </w:tcBorders>
          </w:tcPr>
          <w:p w:rsidR="00BF6595" w:rsidRPr="00E779C8" w:rsidRDefault="00BF6595" w:rsidP="005245D1">
            <w:pPr>
              <w:rPr>
                <w:rFonts w:asciiTheme="minorHAnsi" w:hAnsiTheme="minorHAnsi"/>
                <w:b/>
                <w:sz w:val="22"/>
                <w:szCs w:val="22"/>
              </w:rPr>
            </w:pPr>
            <w:r w:rsidRPr="00E779C8">
              <w:rPr>
                <w:rFonts w:asciiTheme="minorHAnsi" w:hAnsiTheme="minorHAnsi"/>
                <w:b/>
                <w:sz w:val="22"/>
                <w:szCs w:val="22"/>
              </w:rPr>
              <w:t>Benefici</w:t>
            </w:r>
          </w:p>
        </w:tc>
        <w:tc>
          <w:tcPr>
            <w:tcW w:w="3948" w:type="dxa"/>
            <w:tcBorders>
              <w:left w:val="nil"/>
              <w:righ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 xml:space="preserve">Negoziati individualmente, caso-per -caso; </w:t>
            </w:r>
            <w:r>
              <w:rPr>
                <w:rFonts w:asciiTheme="minorHAnsi" w:hAnsiTheme="minorHAnsi"/>
                <w:sz w:val="22"/>
                <w:szCs w:val="22"/>
                <w:lang w:val="it-IT"/>
              </w:rPr>
              <w:t xml:space="preserve">potenziali </w:t>
            </w:r>
            <w:r w:rsidRPr="00E779C8">
              <w:rPr>
                <w:rFonts w:asciiTheme="minorHAnsi" w:hAnsiTheme="minorHAnsi"/>
                <w:sz w:val="22"/>
                <w:szCs w:val="22"/>
                <w:lang w:val="it-IT"/>
              </w:rPr>
              <w:t xml:space="preserve">destinatari </w:t>
            </w:r>
            <w:r>
              <w:rPr>
                <w:rFonts w:asciiTheme="minorHAnsi" w:hAnsiTheme="minorHAnsi"/>
                <w:sz w:val="22"/>
                <w:szCs w:val="22"/>
                <w:lang w:val="it-IT"/>
              </w:rPr>
              <w:t xml:space="preserve">sono per lo più </w:t>
            </w:r>
            <w:r w:rsidRPr="00E779C8">
              <w:rPr>
                <w:rFonts w:asciiTheme="minorHAnsi" w:hAnsiTheme="minorHAnsi"/>
                <w:sz w:val="22"/>
                <w:szCs w:val="22"/>
                <w:lang w:val="it-IT"/>
              </w:rPr>
              <w:t xml:space="preserve">agenzie statali o </w:t>
            </w:r>
            <w:r>
              <w:rPr>
                <w:rFonts w:asciiTheme="minorHAnsi" w:hAnsiTheme="minorHAnsi"/>
                <w:sz w:val="22"/>
                <w:szCs w:val="22"/>
                <w:lang w:val="it-IT"/>
              </w:rPr>
              <w:t>di carattere parastatale-privato</w:t>
            </w:r>
          </w:p>
        </w:tc>
        <w:tc>
          <w:tcPr>
            <w:tcW w:w="3948" w:type="dxa"/>
            <w:tcBorders>
              <w:left w:val="nil"/>
            </w:tcBorders>
          </w:tcPr>
          <w:p w:rsidR="00BF6595" w:rsidRPr="00E779C8" w:rsidRDefault="00BF6595" w:rsidP="00BF6595">
            <w:pPr>
              <w:rPr>
                <w:rFonts w:asciiTheme="minorHAnsi" w:hAnsiTheme="minorHAnsi"/>
                <w:sz w:val="22"/>
                <w:szCs w:val="22"/>
                <w:lang w:val="it-IT"/>
              </w:rPr>
            </w:pPr>
            <w:r w:rsidRPr="00E779C8">
              <w:rPr>
                <w:rFonts w:asciiTheme="minorHAnsi" w:hAnsiTheme="minorHAnsi"/>
                <w:sz w:val="22"/>
                <w:szCs w:val="22"/>
                <w:lang w:val="it-IT"/>
              </w:rPr>
              <w:t xml:space="preserve">Pagamento </w:t>
            </w:r>
            <w:r>
              <w:rPr>
                <w:rFonts w:asciiTheme="minorHAnsi" w:hAnsiTheme="minorHAnsi"/>
                <w:sz w:val="22"/>
                <w:szCs w:val="22"/>
                <w:lang w:val="it-IT"/>
              </w:rPr>
              <w:t xml:space="preserve">predefinito </w:t>
            </w:r>
            <w:r w:rsidRPr="00E779C8">
              <w:rPr>
                <w:rFonts w:asciiTheme="minorHAnsi" w:hAnsiTheme="minorHAnsi"/>
                <w:sz w:val="22"/>
                <w:szCs w:val="22"/>
                <w:lang w:val="it-IT"/>
              </w:rPr>
              <w:t>annuo sulla base dei ricavi ottenuti dall’utilizzo del mate</w:t>
            </w:r>
            <w:r>
              <w:rPr>
                <w:rFonts w:asciiTheme="minorHAnsi" w:hAnsiTheme="minorHAnsi"/>
                <w:sz w:val="22"/>
                <w:szCs w:val="22"/>
                <w:lang w:val="it-IT"/>
              </w:rPr>
              <w:t>-</w:t>
            </w:r>
            <w:r w:rsidRPr="00E779C8">
              <w:rPr>
                <w:rFonts w:asciiTheme="minorHAnsi" w:hAnsiTheme="minorHAnsi"/>
                <w:sz w:val="22"/>
                <w:szCs w:val="22"/>
                <w:lang w:val="it-IT"/>
              </w:rPr>
              <w:t xml:space="preserve">riale ottenuto sotto l’sMTA; </w:t>
            </w:r>
            <w:r>
              <w:rPr>
                <w:rFonts w:asciiTheme="minorHAnsi" w:hAnsiTheme="minorHAnsi"/>
                <w:sz w:val="22"/>
                <w:szCs w:val="22"/>
                <w:lang w:val="it-IT"/>
              </w:rPr>
              <w:t xml:space="preserve">soldi </w:t>
            </w:r>
            <w:r w:rsidRPr="00E779C8">
              <w:rPr>
                <w:rFonts w:asciiTheme="minorHAnsi" w:hAnsiTheme="minorHAnsi"/>
                <w:sz w:val="22"/>
                <w:szCs w:val="22"/>
                <w:lang w:val="it-IT"/>
              </w:rPr>
              <w:t>uti</w:t>
            </w:r>
            <w:r>
              <w:rPr>
                <w:rFonts w:asciiTheme="minorHAnsi" w:hAnsiTheme="minorHAnsi"/>
                <w:sz w:val="22"/>
                <w:szCs w:val="22"/>
                <w:lang w:val="it-IT"/>
              </w:rPr>
              <w:t>-</w:t>
            </w:r>
            <w:r w:rsidRPr="00E779C8">
              <w:rPr>
                <w:rFonts w:asciiTheme="minorHAnsi" w:hAnsiTheme="minorHAnsi"/>
                <w:sz w:val="22"/>
                <w:szCs w:val="22"/>
                <w:lang w:val="it-IT"/>
              </w:rPr>
              <w:t xml:space="preserve">lizzati per progetti volti alla salvaguardia e allo sviluppo sostenibile delle RGVAA soprattutto </w:t>
            </w:r>
            <w:r>
              <w:rPr>
                <w:rFonts w:asciiTheme="minorHAnsi" w:hAnsiTheme="minorHAnsi"/>
                <w:sz w:val="22"/>
                <w:szCs w:val="22"/>
                <w:lang w:val="it-IT"/>
              </w:rPr>
              <w:t xml:space="preserve">nei </w:t>
            </w:r>
            <w:r w:rsidRPr="00E779C8">
              <w:rPr>
                <w:rFonts w:asciiTheme="minorHAnsi" w:hAnsiTheme="minorHAnsi"/>
                <w:sz w:val="22"/>
                <w:szCs w:val="22"/>
                <w:lang w:val="it-IT"/>
              </w:rPr>
              <w:t>Paesi in via di sviluppo</w:t>
            </w:r>
          </w:p>
        </w:tc>
      </w:tr>
      <w:tr w:rsidR="00BF6595" w:rsidRPr="00E779C8" w:rsidTr="005245D1">
        <w:tc>
          <w:tcPr>
            <w:tcW w:w="1384" w:type="dxa"/>
            <w:tcBorders>
              <w:right w:val="nil"/>
            </w:tcBorders>
          </w:tcPr>
          <w:p w:rsidR="00BF6595" w:rsidRPr="00E779C8" w:rsidRDefault="00BF6595" w:rsidP="005245D1">
            <w:pPr>
              <w:rPr>
                <w:rFonts w:asciiTheme="minorHAnsi" w:hAnsiTheme="minorHAnsi"/>
                <w:b/>
                <w:sz w:val="22"/>
                <w:szCs w:val="22"/>
              </w:rPr>
            </w:pPr>
            <w:r w:rsidRPr="00E779C8">
              <w:rPr>
                <w:rFonts w:asciiTheme="minorHAnsi" w:hAnsiTheme="minorHAnsi"/>
                <w:b/>
                <w:sz w:val="22"/>
                <w:szCs w:val="22"/>
              </w:rPr>
              <w:t>Sanzioni</w:t>
            </w:r>
          </w:p>
        </w:tc>
        <w:tc>
          <w:tcPr>
            <w:tcW w:w="3948" w:type="dxa"/>
            <w:tcBorders>
              <w:left w:val="nil"/>
              <w:right w:val="nil"/>
            </w:tcBorders>
          </w:tcPr>
          <w:p w:rsidR="00BF6595" w:rsidRPr="00E779C8" w:rsidRDefault="00BF6595" w:rsidP="005245D1">
            <w:pPr>
              <w:rPr>
                <w:rFonts w:asciiTheme="minorHAnsi" w:hAnsiTheme="minorHAnsi"/>
                <w:sz w:val="22"/>
                <w:szCs w:val="22"/>
                <w:lang w:val="it-IT"/>
              </w:rPr>
            </w:pPr>
            <w:r w:rsidRPr="00E779C8">
              <w:rPr>
                <w:rFonts w:asciiTheme="minorHAnsi" w:hAnsiTheme="minorHAnsi"/>
                <w:sz w:val="22"/>
                <w:szCs w:val="22"/>
                <w:lang w:val="it-IT"/>
              </w:rPr>
              <w:t xml:space="preserve">Arbitrazione sotto la legislazione nazionale del Paese interessato; inoltre, </w:t>
            </w:r>
            <w:r>
              <w:rPr>
                <w:rFonts w:asciiTheme="minorHAnsi" w:hAnsiTheme="minorHAnsi"/>
                <w:sz w:val="22"/>
                <w:szCs w:val="22"/>
                <w:lang w:val="it-IT"/>
              </w:rPr>
              <w:t>i</w:t>
            </w:r>
            <w:r w:rsidRPr="00E779C8">
              <w:rPr>
                <w:rFonts w:asciiTheme="minorHAnsi" w:hAnsiTheme="minorHAnsi"/>
                <w:sz w:val="22"/>
                <w:szCs w:val="22"/>
                <w:lang w:val="it-IT"/>
              </w:rPr>
              <w:t xml:space="preserve"> Paesi devono istituire “check-points” per il controllo del rispetto delle regole del protocollo di Nagoya, ad esempio riguardante la proprietà intellettuale</w:t>
            </w:r>
          </w:p>
        </w:tc>
        <w:tc>
          <w:tcPr>
            <w:tcW w:w="3948" w:type="dxa"/>
            <w:tcBorders>
              <w:left w:val="nil"/>
            </w:tcBorders>
          </w:tcPr>
          <w:p w:rsidR="00BF6595" w:rsidRPr="00E779C8" w:rsidRDefault="00BF6595" w:rsidP="00BF6595">
            <w:pPr>
              <w:rPr>
                <w:rFonts w:asciiTheme="minorHAnsi" w:hAnsiTheme="minorHAnsi"/>
                <w:sz w:val="22"/>
                <w:szCs w:val="22"/>
                <w:lang w:val="it-IT"/>
              </w:rPr>
            </w:pPr>
            <w:r w:rsidRPr="00E779C8">
              <w:rPr>
                <w:rFonts w:asciiTheme="minorHAnsi" w:hAnsiTheme="minorHAnsi"/>
                <w:sz w:val="22"/>
                <w:szCs w:val="22"/>
                <w:lang w:val="it-IT"/>
              </w:rPr>
              <w:t xml:space="preserve">Arbitrazione internazionale </w:t>
            </w:r>
            <w:r>
              <w:rPr>
                <w:rFonts w:asciiTheme="minorHAnsi" w:hAnsiTheme="minorHAnsi"/>
                <w:sz w:val="22"/>
                <w:szCs w:val="22"/>
                <w:lang w:val="it-IT"/>
              </w:rPr>
              <w:t>valida</w:t>
            </w:r>
            <w:r w:rsidRPr="00E779C8">
              <w:rPr>
                <w:rFonts w:asciiTheme="minorHAnsi" w:hAnsiTheme="minorHAnsi"/>
                <w:sz w:val="22"/>
                <w:szCs w:val="22"/>
                <w:lang w:val="it-IT"/>
              </w:rPr>
              <w:t xml:space="preserve"> per tutti i Paesi</w:t>
            </w:r>
          </w:p>
        </w:tc>
      </w:tr>
    </w:tbl>
    <w:p w:rsidR="00BF6595" w:rsidRDefault="00BF6595" w:rsidP="00215A8D">
      <w:pPr>
        <w:spacing w:after="0" w:line="240" w:lineRule="auto"/>
        <w:jc w:val="both"/>
      </w:pPr>
    </w:p>
    <w:p w:rsidR="00D94450" w:rsidRDefault="00AE2164" w:rsidP="00215A8D">
      <w:pPr>
        <w:spacing w:after="0" w:line="240" w:lineRule="auto"/>
        <w:jc w:val="both"/>
      </w:pPr>
      <w:r w:rsidRPr="00D94450">
        <w:rPr>
          <w:b/>
        </w:rPr>
        <w:lastRenderedPageBreak/>
        <w:t xml:space="preserve">Nell’ ambito del </w:t>
      </w:r>
      <w:r w:rsidR="00D94450" w:rsidRPr="00D94450">
        <w:rPr>
          <w:b/>
        </w:rPr>
        <w:t xml:space="preserve"> Protocollo di Nagoya le procedure di negoziazione tra donatore e ricevente sono bilaterali e variabili da Nazione a Nazione</w:t>
      </w:r>
      <w:r w:rsidR="00BF6595">
        <w:t>.</w:t>
      </w:r>
      <w:r w:rsidR="00D94450">
        <w:t xml:space="preserve"> </w:t>
      </w:r>
    </w:p>
    <w:p w:rsidR="00E779C8" w:rsidRDefault="00D94450" w:rsidP="00215A8D">
      <w:pPr>
        <w:spacing w:after="0" w:line="240" w:lineRule="auto"/>
        <w:jc w:val="both"/>
      </w:pPr>
      <w:r>
        <w:rPr>
          <w:u w:val="single"/>
        </w:rPr>
        <w:t>Le</w:t>
      </w:r>
      <w:r w:rsidR="00E779C8" w:rsidRPr="00783843">
        <w:rPr>
          <w:u w:val="single"/>
        </w:rPr>
        <w:t xml:space="preserve"> condizioni per poter </w:t>
      </w:r>
      <w:r w:rsidR="00AE2164">
        <w:rPr>
          <w:u w:val="single"/>
        </w:rPr>
        <w:t xml:space="preserve">accedere al materiale richiesto </w:t>
      </w:r>
      <w:r w:rsidR="00E779C8">
        <w:t xml:space="preserve"> comprendono l’ottenimento, tramite richiesta alle Autorità Nazionali Competenti, di un “consenso informato preventivo” (PIC), la compilazione di una “dichiarazione di dovuta diligenza” riguardo al rispetto delle regole inerenti l’accesso, la definizione delle condizioni dello scambio e del</w:t>
      </w:r>
      <w:r>
        <w:t>la ripartizione dei benefici (“Mutually Agreed T</w:t>
      </w:r>
      <w:r w:rsidR="00E779C8">
        <w:t xml:space="preserve">erms”, MAT) e il “Certificato di </w:t>
      </w:r>
      <w:r w:rsidR="00AF7AC6">
        <w:t xml:space="preserve">Conformità Riconosciuto a livello Internazionale” </w:t>
      </w:r>
      <w:r w:rsidR="00E779C8">
        <w:t xml:space="preserve">(IRCC). </w:t>
      </w:r>
    </w:p>
    <w:p w:rsidR="00804266" w:rsidRPr="000A38C3" w:rsidRDefault="00D94450" w:rsidP="00215A8D">
      <w:pPr>
        <w:spacing w:after="0" w:line="240" w:lineRule="auto"/>
        <w:jc w:val="both"/>
        <w:rPr>
          <w:b/>
        </w:rPr>
      </w:pPr>
      <w:r w:rsidRPr="000A38C3">
        <w:rPr>
          <w:b/>
        </w:rPr>
        <w:t xml:space="preserve">Nell’ ambito del </w:t>
      </w:r>
      <w:r w:rsidR="00EC0926" w:rsidRPr="000A38C3">
        <w:rPr>
          <w:b/>
        </w:rPr>
        <w:t>Tratta</w:t>
      </w:r>
      <w:r w:rsidR="00783843" w:rsidRPr="000A38C3">
        <w:rPr>
          <w:b/>
        </w:rPr>
        <w:t>to FAO</w:t>
      </w:r>
      <w:r w:rsidRPr="000A38C3">
        <w:rPr>
          <w:b/>
        </w:rPr>
        <w:t xml:space="preserve"> le procedure di negoziazione tra donatore e ricevente fanno riferimento all’sMTA </w:t>
      </w:r>
      <w:r w:rsidR="00783843" w:rsidRPr="000A38C3">
        <w:rPr>
          <w:b/>
        </w:rPr>
        <w:t xml:space="preserve">, </w:t>
      </w:r>
      <w:r w:rsidRPr="000A38C3">
        <w:rPr>
          <w:b/>
        </w:rPr>
        <w:t xml:space="preserve">le cui regole hanno  valenza </w:t>
      </w:r>
      <w:r w:rsidR="000A38C3" w:rsidRPr="000A38C3">
        <w:rPr>
          <w:b/>
        </w:rPr>
        <w:t xml:space="preserve">internazionale </w:t>
      </w:r>
      <w:r w:rsidRPr="000A38C3">
        <w:rPr>
          <w:b/>
        </w:rPr>
        <w:t>generale</w:t>
      </w:r>
      <w:r w:rsidR="000A38C3" w:rsidRPr="000A38C3">
        <w:rPr>
          <w:b/>
        </w:rPr>
        <w:t xml:space="preserve"> </w:t>
      </w:r>
      <w:r w:rsidRPr="000A38C3">
        <w:rPr>
          <w:b/>
        </w:rPr>
        <w:t xml:space="preserve"> ( uguali per tutti i Paesi aderenti),  si applicano direttamente tra le parti  coinvolte, senza dover ricorrere a nessuna autorità intermedia</w:t>
      </w:r>
      <w:r w:rsidR="000A38C3">
        <w:rPr>
          <w:b/>
        </w:rPr>
        <w:t xml:space="preserve">,  con la sottoscrizione di un modello unico </w:t>
      </w:r>
      <w:r w:rsidR="00783843" w:rsidRPr="000A38C3">
        <w:rPr>
          <w:b/>
        </w:rPr>
        <w:t>da parte del donatore e d</w:t>
      </w:r>
      <w:r w:rsidR="000A38C3">
        <w:rPr>
          <w:b/>
        </w:rPr>
        <w:t>el ricevente.</w:t>
      </w:r>
    </w:p>
    <w:p w:rsidR="00BD7730" w:rsidRDefault="00783843" w:rsidP="00B36F51">
      <w:pPr>
        <w:spacing w:after="0" w:line="240" w:lineRule="auto"/>
        <w:ind w:firstLine="284"/>
        <w:jc w:val="both"/>
      </w:pPr>
      <w:r>
        <w:t xml:space="preserve">Anche i </w:t>
      </w:r>
      <w:r w:rsidRPr="00783843">
        <w:rPr>
          <w:u w:val="single"/>
        </w:rPr>
        <w:t>provvedimenti di reporting e monitoraggio</w:t>
      </w:r>
      <w:r>
        <w:t xml:space="preserve"> delle attività e i </w:t>
      </w:r>
      <w:r w:rsidRPr="00AE2164">
        <w:rPr>
          <w:sz w:val="24"/>
        </w:rPr>
        <w:t>col</w:t>
      </w:r>
      <w:r w:rsidR="00AE2164" w:rsidRPr="00AE2164">
        <w:rPr>
          <w:sz w:val="24"/>
        </w:rPr>
        <w:t>l</w:t>
      </w:r>
      <w:r w:rsidRPr="00AE2164">
        <w:rPr>
          <w:sz w:val="24"/>
        </w:rPr>
        <w:t>egati</w:t>
      </w:r>
      <w:r>
        <w:t xml:space="preserve"> obblighi di documentazion</w:t>
      </w:r>
      <w:r w:rsidR="00EC0926">
        <w:t>e sono meno impegnativi</w:t>
      </w:r>
      <w:r w:rsidR="00AE2164">
        <w:t xml:space="preserve"> nell’ambito del  Trattato</w:t>
      </w:r>
      <w:r w:rsidR="00EC0926">
        <w:t xml:space="preserve"> FAO</w:t>
      </w:r>
      <w:r>
        <w:t>, in quanto il ricevente deve soltanto archiviare l’sMTA utilizzato</w:t>
      </w:r>
      <w:r w:rsidR="002F5B1A">
        <w:t xml:space="preserve"> e inviarne una copia all’Organ</w:t>
      </w:r>
      <w:r w:rsidR="00EC0926">
        <w:t xml:space="preserve">o Direttivo; con </w:t>
      </w:r>
      <w:r>
        <w:t xml:space="preserve"> il Protocollo di Nagoya, invece, vanno archiviati tutti i documenti </w:t>
      </w:r>
      <w:r w:rsidR="00AE2164">
        <w:t xml:space="preserve"> nel corso dell’acquisizione </w:t>
      </w:r>
      <w:r>
        <w:t xml:space="preserve"> e</w:t>
      </w:r>
      <w:r w:rsidR="00EC0926">
        <w:t xml:space="preserve"> dell’</w:t>
      </w:r>
      <w:r>
        <w:t xml:space="preserve"> utilizzo del materiale,</w:t>
      </w:r>
      <w:r w:rsidR="00EC0926">
        <w:t>che dovranno essere trasmessi</w:t>
      </w:r>
      <w:r>
        <w:t xml:space="preserve"> anche a</w:t>
      </w:r>
      <w:r w:rsidR="00EC0926">
        <w:t xml:space="preserve">l </w:t>
      </w:r>
      <w:r>
        <w:t>potenziale futuro utente dello stesso materiale; in quest’ultimo caso, inoltre, il MAT dovrà essere rinegoziato, coinvolgendo nuovame</w:t>
      </w:r>
      <w:r w:rsidR="00EC0926">
        <w:t>nte le autorità competenti dei P</w:t>
      </w:r>
      <w:r>
        <w:t>aesi interessati.</w:t>
      </w:r>
    </w:p>
    <w:p w:rsidR="00675EDD" w:rsidRDefault="00783843" w:rsidP="00B36F51">
      <w:pPr>
        <w:spacing w:after="0" w:line="240" w:lineRule="auto"/>
        <w:ind w:firstLine="284"/>
        <w:jc w:val="both"/>
      </w:pPr>
      <w:r>
        <w:t xml:space="preserve">Per quanto riguarda il </w:t>
      </w:r>
      <w:r w:rsidRPr="000C4923">
        <w:rPr>
          <w:u w:val="single"/>
        </w:rPr>
        <w:t>controllo del rispetto delle regole</w:t>
      </w:r>
      <w:r>
        <w:t xml:space="preserve"> (“Complicance”), il Protocollo di Nagoya prevede che i singoli Paesi </w:t>
      </w:r>
      <w:r w:rsidR="00ED27C3">
        <w:t>provvedano</w:t>
      </w:r>
      <w:r>
        <w:t>, attraverso misure quali “check-points” o controlli spontanei, alla verifica del corretto comportament</w:t>
      </w:r>
      <w:r w:rsidR="00ED27C3">
        <w:t xml:space="preserve">o del ricevente. Eventuali controversie legali saranno risolte </w:t>
      </w:r>
      <w:r>
        <w:t xml:space="preserve"> </w:t>
      </w:r>
      <w:r w:rsidR="00ED27C3">
        <w:t xml:space="preserve">secondo la </w:t>
      </w:r>
      <w:r w:rsidR="000C4923">
        <w:t xml:space="preserve"> legislazione del Paese interessato.</w:t>
      </w:r>
      <w:r w:rsidR="002F5B1A">
        <w:t xml:space="preserve"> </w:t>
      </w:r>
    </w:p>
    <w:p w:rsidR="002F5B1A" w:rsidRPr="00675EDD" w:rsidRDefault="002F5B1A" w:rsidP="00B36F51">
      <w:pPr>
        <w:spacing w:after="0" w:line="240" w:lineRule="auto"/>
        <w:ind w:firstLine="284"/>
        <w:jc w:val="both"/>
      </w:pPr>
      <w:r w:rsidRPr="00675EDD">
        <w:t>Nell’ambito del Trattato</w:t>
      </w:r>
      <w:r w:rsidR="00675EDD" w:rsidRPr="00675EDD">
        <w:t xml:space="preserve"> FAO</w:t>
      </w:r>
      <w:r w:rsidRPr="00675EDD">
        <w:t>, l’osservanza della compliance e il controllo della stessa rimangono al ricevente e al donatore ed eventual</w:t>
      </w:r>
      <w:r w:rsidR="00675EDD" w:rsidRPr="00675EDD">
        <w:t>i casi di non-compliance sono</w:t>
      </w:r>
      <w:r w:rsidRPr="00675EDD">
        <w:t xml:space="preserve"> comunicati all’Organo Direttivo che procede all’arbitrato. </w:t>
      </w:r>
    </w:p>
    <w:p w:rsidR="00675EDD" w:rsidRDefault="002F5B1A" w:rsidP="00675EDD">
      <w:pPr>
        <w:spacing w:after="0" w:line="240" w:lineRule="auto"/>
        <w:ind w:firstLine="284"/>
        <w:jc w:val="both"/>
      </w:pPr>
      <w:r w:rsidRPr="00675EDD">
        <w:rPr>
          <w:u w:val="single"/>
        </w:rPr>
        <w:t>Sanzioni</w:t>
      </w:r>
      <w:r w:rsidRPr="00675EDD">
        <w:t xml:space="preserve">: </w:t>
      </w:r>
      <w:r w:rsidR="00ED27C3" w:rsidRPr="00675EDD">
        <w:t xml:space="preserve">Il protocollo di Nagoya </w:t>
      </w:r>
      <w:r w:rsidRPr="00675EDD">
        <w:t>lascia ai singoli Paesi</w:t>
      </w:r>
      <w:r w:rsidR="00ED27C3" w:rsidRPr="00675EDD">
        <w:t xml:space="preserve"> </w:t>
      </w:r>
      <w:r w:rsidRPr="00675EDD">
        <w:t>la definizione delle sanzioni da app</w:t>
      </w:r>
      <w:r w:rsidR="00675EDD" w:rsidRPr="00675EDD">
        <w:t>licare in caso di inosservanza delle regole. N</w:t>
      </w:r>
      <w:r w:rsidRPr="00675EDD">
        <w:t>el p</w:t>
      </w:r>
      <w:r w:rsidR="00675EDD" w:rsidRPr="00675EDD">
        <w:t>resente disegno di legge, tali</w:t>
      </w:r>
      <w:r w:rsidRPr="00675EDD">
        <w:t xml:space="preserve"> sanzioni sono molto </w:t>
      </w:r>
      <w:r w:rsidR="00E76E39" w:rsidRPr="00675EDD">
        <w:t>articolate e complesse</w:t>
      </w:r>
      <w:r w:rsidR="00675EDD" w:rsidRPr="00675EDD">
        <w:t>,</w:t>
      </w:r>
      <w:r w:rsidR="00E76E39" w:rsidRPr="00675EDD">
        <w:t xml:space="preserve"> </w:t>
      </w:r>
      <w:r w:rsidR="00675EDD" w:rsidRPr="00675EDD">
        <w:t>viene stabilito</w:t>
      </w:r>
      <w:r w:rsidRPr="00675EDD">
        <w:t xml:space="preserve"> un regime sanzionatorio</w:t>
      </w:r>
      <w:r>
        <w:t xml:space="preserve"> </w:t>
      </w:r>
      <w:r w:rsidR="00E76E39">
        <w:t>molto severo che non pare commisurato alla realtà operativa</w:t>
      </w:r>
      <w:r w:rsidR="00E40D89">
        <w:t>.</w:t>
      </w:r>
    </w:p>
    <w:p w:rsidR="00783843" w:rsidRPr="002F5B1A" w:rsidRDefault="002F5B1A" w:rsidP="00675EDD">
      <w:pPr>
        <w:spacing w:after="0" w:line="240" w:lineRule="auto"/>
        <w:ind w:firstLine="284"/>
        <w:jc w:val="both"/>
        <w:rPr>
          <w:strike/>
        </w:rPr>
      </w:pPr>
      <w:r w:rsidRPr="002F5B1A">
        <w:t xml:space="preserve"> </w:t>
      </w:r>
      <w:r w:rsidR="00E76E39">
        <w:t xml:space="preserve">Il </w:t>
      </w:r>
      <w:r w:rsidR="00675EDD">
        <w:t xml:space="preserve"> Trattat</w:t>
      </w:r>
      <w:r w:rsidR="000C4923">
        <w:t>o FAO</w:t>
      </w:r>
      <w:r w:rsidR="00E76E39">
        <w:t xml:space="preserve"> per contro, per eventuali controversie che dovessero sorgere</w:t>
      </w:r>
      <w:r w:rsidR="00E40D89">
        <w:t>,</w:t>
      </w:r>
      <w:r w:rsidR="00E76E39">
        <w:t xml:space="preserve"> </w:t>
      </w:r>
      <w:r w:rsidR="000C4923">
        <w:t xml:space="preserve">prevede </w:t>
      </w:r>
      <w:r w:rsidR="00E76E39">
        <w:t xml:space="preserve">l’arbitrato </w:t>
      </w:r>
      <w:r w:rsidR="00C369C5">
        <w:t>da parte di un tribunale internazionalmente riconosciuto quale l’International Court of Justice delle Nazio</w:t>
      </w:r>
      <w:r w:rsidR="00E76E39">
        <w:t xml:space="preserve">ne Unite, con regole chiare </w:t>
      </w:r>
      <w:r w:rsidR="00C369C5">
        <w:t xml:space="preserve"> e applicabili a tutti i Paesi.</w:t>
      </w:r>
    </w:p>
    <w:p w:rsidR="00BD7730" w:rsidRDefault="00BD7730" w:rsidP="00215A8D">
      <w:pPr>
        <w:spacing w:after="0" w:line="240" w:lineRule="auto"/>
        <w:jc w:val="both"/>
      </w:pPr>
    </w:p>
    <w:p w:rsidR="00E40D89" w:rsidRPr="00675EDD" w:rsidRDefault="00E40D89" w:rsidP="00E40D89">
      <w:pPr>
        <w:spacing w:after="0" w:line="240" w:lineRule="auto"/>
        <w:jc w:val="both"/>
        <w:rPr>
          <w:b/>
          <w:u w:val="single"/>
        </w:rPr>
      </w:pPr>
      <w:r w:rsidRPr="00675EDD">
        <w:rPr>
          <w:b/>
          <w:u w:val="single"/>
        </w:rPr>
        <w:t xml:space="preserve">In conclusione, le procedure e gli obblighi amministrativi imposte dal Protocollo di Nagoya per l’utilizzo di una risorsa genetica sono molto complesse e  non adeguate alle realtà operative del settore con effetti negativi su qualsiasi attività di ricerca e/o miglioramento genetico. La burocrazia e le  incertezze legali, possono scoraggiare gli utilizzatori  di piccola e media dimensione (breeder e/o detentori di collezioni) per </w:t>
      </w:r>
      <w:r w:rsidR="00675EDD" w:rsidRPr="00675EDD">
        <w:rPr>
          <w:b/>
          <w:u w:val="single"/>
        </w:rPr>
        <w:t xml:space="preserve">la </w:t>
      </w:r>
      <w:r w:rsidRPr="00675EDD">
        <w:rPr>
          <w:b/>
          <w:u w:val="single"/>
        </w:rPr>
        <w:t xml:space="preserve">mancanza di personale qualificato per seguire le procedure tecniche e legali richieste dal Protocollo. </w:t>
      </w:r>
    </w:p>
    <w:p w:rsidR="00E40D89" w:rsidRPr="00675EDD" w:rsidRDefault="00E40D89" w:rsidP="00E40D89">
      <w:pPr>
        <w:spacing w:after="0" w:line="240" w:lineRule="auto"/>
        <w:jc w:val="both"/>
        <w:rPr>
          <w:b/>
          <w:u w:val="single"/>
        </w:rPr>
      </w:pPr>
      <w:r w:rsidRPr="00675EDD">
        <w:rPr>
          <w:b/>
          <w:u w:val="single"/>
        </w:rPr>
        <w:t>Dalle considerazioni fin qui fatte emerge la assoluta e urgente necessità di svincolare  le RGVAA dal protocollo di Nagoya al fine di assicurare un uso facilitato e proficuo delle predette risorse</w:t>
      </w:r>
      <w:r w:rsidR="000A38C3">
        <w:rPr>
          <w:b/>
          <w:u w:val="single"/>
        </w:rPr>
        <w:t xml:space="preserve"> nello spirito del Trattato FAO e del benessere dell’Umanità</w:t>
      </w:r>
    </w:p>
    <w:p w:rsidR="00B17F40" w:rsidRDefault="00B17F40" w:rsidP="00215A8D">
      <w:pPr>
        <w:spacing w:after="0" w:line="240" w:lineRule="auto"/>
        <w:jc w:val="both"/>
      </w:pPr>
    </w:p>
    <w:p w:rsidR="00F66FCE" w:rsidRDefault="00F66FCE" w:rsidP="00B17F40">
      <w:pPr>
        <w:spacing w:after="0" w:line="240" w:lineRule="auto"/>
        <w:jc w:val="center"/>
        <w:rPr>
          <w:b/>
          <w:sz w:val="28"/>
          <w:szCs w:val="28"/>
        </w:rPr>
      </w:pPr>
    </w:p>
    <w:sectPr w:rsidR="00F66FCE" w:rsidSect="00F66FCE">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08" w:rsidRDefault="000A7308" w:rsidP="00350132">
      <w:pPr>
        <w:spacing w:after="0" w:line="240" w:lineRule="auto"/>
      </w:pPr>
      <w:r>
        <w:separator/>
      </w:r>
    </w:p>
  </w:endnote>
  <w:endnote w:type="continuationSeparator" w:id="0">
    <w:p w:rsidR="000A7308" w:rsidRDefault="000A7308" w:rsidP="0035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08" w:rsidRDefault="000A7308" w:rsidP="00350132">
      <w:pPr>
        <w:spacing w:after="0" w:line="240" w:lineRule="auto"/>
      </w:pPr>
      <w:r>
        <w:separator/>
      </w:r>
    </w:p>
  </w:footnote>
  <w:footnote w:type="continuationSeparator" w:id="0">
    <w:p w:rsidR="000A7308" w:rsidRDefault="000A7308" w:rsidP="00350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101E5"/>
    <w:multiLevelType w:val="hybridMultilevel"/>
    <w:tmpl w:val="CE3A1914"/>
    <w:lvl w:ilvl="0" w:tplc="3DBE17AE">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09061A"/>
    <w:multiLevelType w:val="hybridMultilevel"/>
    <w:tmpl w:val="43403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72"/>
    <w:rsid w:val="00006FE4"/>
    <w:rsid w:val="00027514"/>
    <w:rsid w:val="00053640"/>
    <w:rsid w:val="00061721"/>
    <w:rsid w:val="000957B5"/>
    <w:rsid w:val="000A1887"/>
    <w:rsid w:val="000A38C3"/>
    <w:rsid w:val="000A7308"/>
    <w:rsid w:val="000C4923"/>
    <w:rsid w:val="00125F09"/>
    <w:rsid w:val="00147E81"/>
    <w:rsid w:val="0020659F"/>
    <w:rsid w:val="00215A8D"/>
    <w:rsid w:val="00287DFD"/>
    <w:rsid w:val="002A2F0C"/>
    <w:rsid w:val="002C2449"/>
    <w:rsid w:val="002F5B1A"/>
    <w:rsid w:val="00323F12"/>
    <w:rsid w:val="00350132"/>
    <w:rsid w:val="003A211E"/>
    <w:rsid w:val="003A57C5"/>
    <w:rsid w:val="003F4AA6"/>
    <w:rsid w:val="00474EFD"/>
    <w:rsid w:val="004C066B"/>
    <w:rsid w:val="00582B42"/>
    <w:rsid w:val="005976D6"/>
    <w:rsid w:val="0063026D"/>
    <w:rsid w:val="00640C89"/>
    <w:rsid w:val="00675EDD"/>
    <w:rsid w:val="0068309E"/>
    <w:rsid w:val="00694120"/>
    <w:rsid w:val="00702FF1"/>
    <w:rsid w:val="007210E6"/>
    <w:rsid w:val="0072742A"/>
    <w:rsid w:val="007823CC"/>
    <w:rsid w:val="00783843"/>
    <w:rsid w:val="007C340C"/>
    <w:rsid w:val="007D11D3"/>
    <w:rsid w:val="00804266"/>
    <w:rsid w:val="008731C0"/>
    <w:rsid w:val="00876AFF"/>
    <w:rsid w:val="008B6D94"/>
    <w:rsid w:val="009426D1"/>
    <w:rsid w:val="00942D01"/>
    <w:rsid w:val="00975F4C"/>
    <w:rsid w:val="00976049"/>
    <w:rsid w:val="009A12AA"/>
    <w:rsid w:val="00A146FC"/>
    <w:rsid w:val="00A26ACE"/>
    <w:rsid w:val="00A67B06"/>
    <w:rsid w:val="00AC2345"/>
    <w:rsid w:val="00AE2164"/>
    <w:rsid w:val="00AF7AC6"/>
    <w:rsid w:val="00B17F40"/>
    <w:rsid w:val="00B33955"/>
    <w:rsid w:val="00B36F51"/>
    <w:rsid w:val="00B40F8D"/>
    <w:rsid w:val="00B47602"/>
    <w:rsid w:val="00B54272"/>
    <w:rsid w:val="00BD7730"/>
    <w:rsid w:val="00BF6595"/>
    <w:rsid w:val="00C369C5"/>
    <w:rsid w:val="00CE0EE7"/>
    <w:rsid w:val="00CF342E"/>
    <w:rsid w:val="00D94450"/>
    <w:rsid w:val="00E24467"/>
    <w:rsid w:val="00E279D0"/>
    <w:rsid w:val="00E40D89"/>
    <w:rsid w:val="00E75F0E"/>
    <w:rsid w:val="00E76E39"/>
    <w:rsid w:val="00E779C8"/>
    <w:rsid w:val="00EC0926"/>
    <w:rsid w:val="00ED27C3"/>
    <w:rsid w:val="00F66FCE"/>
    <w:rsid w:val="00FB4D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C7AC8C-356A-4940-9F77-819730EF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7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06FE4"/>
    <w:pPr>
      <w:ind w:left="720"/>
      <w:contextualSpacing/>
    </w:pPr>
  </w:style>
  <w:style w:type="table" w:customStyle="1" w:styleId="Grigliatabella1">
    <w:name w:val="Griglia tabella1"/>
    <w:basedOn w:val="Tabellanormale"/>
    <w:next w:val="Grigliatabella"/>
    <w:uiPriority w:val="59"/>
    <w:rsid w:val="00BD7730"/>
    <w:pPr>
      <w:spacing w:after="0" w:line="240" w:lineRule="auto"/>
    </w:pPr>
    <w:rPr>
      <w:rFonts w:ascii="Times New Roman" w:eastAsiaTheme="minorEastAsia" w:hAnsi="Times New Roman" w:cs="Times New Roman"/>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50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0132"/>
  </w:style>
  <w:style w:type="paragraph" w:styleId="Pidipagina">
    <w:name w:val="footer"/>
    <w:basedOn w:val="Normale"/>
    <w:link w:val="PidipaginaCarattere"/>
    <w:uiPriority w:val="99"/>
    <w:unhideWhenUsed/>
    <w:rsid w:val="003501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11792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Danilo2</cp:lastModifiedBy>
  <cp:revision>2</cp:revision>
  <cp:lastPrinted>2015-08-12T13:56:00Z</cp:lastPrinted>
  <dcterms:created xsi:type="dcterms:W3CDTF">2017-01-19T10:14:00Z</dcterms:created>
  <dcterms:modified xsi:type="dcterms:W3CDTF">2017-01-19T10:14:00Z</dcterms:modified>
</cp:coreProperties>
</file>